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AAF0E" w14:textId="77777777" w:rsidR="00DD6AA3" w:rsidRPr="000B433D" w:rsidRDefault="00DD6AA3" w:rsidP="00DD6AA3">
      <w:pPr>
        <w:pStyle w:val="Default"/>
        <w:spacing w:line="276" w:lineRule="auto"/>
        <w:rPr>
          <w:rFonts w:ascii="Stone Sans II ITC Com Lt" w:hAnsi="Stone Sans II ITC Com Lt"/>
          <w:sz w:val="18"/>
          <w:szCs w:val="18"/>
        </w:rPr>
      </w:pPr>
    </w:p>
    <w:p w14:paraId="0D8AAE51" w14:textId="77777777" w:rsidR="00DD6AA3" w:rsidRPr="000B433D" w:rsidRDefault="00DD6AA3" w:rsidP="00044844">
      <w:pPr>
        <w:autoSpaceDE w:val="0"/>
        <w:autoSpaceDN w:val="0"/>
        <w:adjustRightInd w:val="0"/>
        <w:spacing w:after="0" w:line="240" w:lineRule="auto"/>
        <w:rPr>
          <w:rFonts w:ascii="Stone Sans II ITC Com Lt" w:hAnsi="Stone Sans II ITC Com Lt" w:cs="NewsGothic,Bold"/>
          <w:b/>
          <w:bCs/>
          <w:sz w:val="24"/>
          <w:szCs w:val="24"/>
        </w:rPr>
      </w:pPr>
    </w:p>
    <w:p w14:paraId="1C4E0137" w14:textId="77777777" w:rsidR="00DD6AA3" w:rsidRPr="000B433D" w:rsidRDefault="00182CEE" w:rsidP="00E43F83">
      <w:pPr>
        <w:tabs>
          <w:tab w:val="left" w:pos="5878"/>
        </w:tabs>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sz w:val="24"/>
          <w:szCs w:val="24"/>
        </w:rPr>
        <w:tab/>
      </w:r>
    </w:p>
    <w:p w14:paraId="77915FC3" w14:textId="77777777"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noProof/>
          <w:sz w:val="24"/>
          <w:szCs w:val="24"/>
          <w:lang w:eastAsia="de-DE"/>
        </w:rPr>
        <w:drawing>
          <wp:anchor distT="0" distB="0" distL="114300" distR="114300" simplePos="0" relativeHeight="251656704" behindDoc="0" locked="0" layoutInCell="1" allowOverlap="1" wp14:anchorId="62234B87" wp14:editId="7F155347">
            <wp:simplePos x="1082040" y="899160"/>
            <wp:positionH relativeFrom="margin">
              <wp:align>right</wp:align>
            </wp:positionH>
            <wp:positionV relativeFrom="margin">
              <wp:align>top</wp:align>
            </wp:positionV>
            <wp:extent cx="828000" cy="828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LOGO 4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p>
    <w:p w14:paraId="1F13B24E" w14:textId="77777777"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p>
    <w:p w14:paraId="51AC148E" w14:textId="77777777" w:rsidR="00D869B8" w:rsidRPr="000B433D" w:rsidRDefault="00D869B8"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519D6A98" w14:textId="77777777" w:rsidR="00B16ED4" w:rsidRPr="000B433D" w:rsidRDefault="00B16ED4"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1F0F2F59" w14:textId="18C81FB0" w:rsidR="00B16ED4" w:rsidRPr="000B433D" w:rsidRDefault="00E53EA6" w:rsidP="00F13F80">
      <w:pPr>
        <w:rPr>
          <w:rFonts w:ascii="Stone Sans II ITC Com Lt" w:hAnsi="Stone Sans II ITC Com Lt" w:cs="Arial"/>
          <w:color w:val="C00000"/>
          <w:sz w:val="34"/>
          <w:szCs w:val="34"/>
        </w:rPr>
      </w:pPr>
      <w:r w:rsidRPr="000B433D">
        <w:rPr>
          <w:rFonts w:ascii="Stone Sans II ITC Com Lt" w:hAnsi="Stone Sans II ITC Com Lt"/>
          <w:color w:val="000000" w:themeColor="text1"/>
          <w:sz w:val="28"/>
          <w:szCs w:val="48"/>
        </w:rPr>
        <w:t>Pressemitteilung</w:t>
      </w:r>
      <w:r w:rsidR="00406A3C" w:rsidRPr="000B433D">
        <w:rPr>
          <w:rFonts w:ascii="Stone Sans II ITC Com Lt" w:hAnsi="Stone Sans II ITC Com Lt"/>
          <w:color w:val="000000" w:themeColor="text1"/>
          <w:sz w:val="28"/>
          <w:szCs w:val="48"/>
        </w:rPr>
        <w:tab/>
      </w:r>
      <w:r w:rsidR="00B16ED4" w:rsidRPr="000B433D">
        <w:rPr>
          <w:rFonts w:ascii="Stone Sans II ITC Com Lt" w:hAnsi="Stone Sans II ITC Com Lt"/>
          <w:color w:val="C00000"/>
          <w:sz w:val="36"/>
          <w:szCs w:val="28"/>
        </w:rPr>
        <w:br/>
      </w:r>
    </w:p>
    <w:p w14:paraId="2553FF34" w14:textId="6DDA389A" w:rsidR="00F05BFD" w:rsidRDefault="00E43F83" w:rsidP="00D01A91">
      <w:pPr>
        <w:spacing w:line="360" w:lineRule="auto"/>
        <w:ind w:left="5529"/>
        <w:jc w:val="right"/>
        <w:rPr>
          <w:rFonts w:ascii="Stone Sans II ITC Com Lt" w:hAnsi="Stone Sans II ITC Com Lt" w:cs="Arial"/>
          <w:color w:val="000000" w:themeColor="text1"/>
          <w:sz w:val="20"/>
        </w:rPr>
      </w:pPr>
      <w:r w:rsidRPr="000B433D">
        <w:rPr>
          <w:rFonts w:ascii="Stone Sans II ITC Com Lt" w:hAnsi="Stone Sans II ITC Com Lt" w:cs="Arial"/>
          <w:color w:val="000000" w:themeColor="text1"/>
          <w:sz w:val="20"/>
        </w:rPr>
        <w:t>Büdelsdorf</w:t>
      </w:r>
      <w:r w:rsidR="00D0325C">
        <w:rPr>
          <w:rFonts w:ascii="Stone Sans II ITC Com Lt" w:hAnsi="Stone Sans II ITC Com Lt" w:cs="Arial"/>
          <w:color w:val="000000" w:themeColor="text1"/>
          <w:sz w:val="20"/>
        </w:rPr>
        <w:t xml:space="preserve">, </w:t>
      </w:r>
      <w:r w:rsidR="00594ABF">
        <w:rPr>
          <w:rFonts w:ascii="Stone Sans II ITC Com Lt" w:hAnsi="Stone Sans II ITC Com Lt" w:cs="Arial"/>
          <w:color w:val="000000" w:themeColor="text1"/>
          <w:sz w:val="20"/>
        </w:rPr>
        <w:t>12.04</w:t>
      </w:r>
      <w:r w:rsidR="007D3B6D">
        <w:rPr>
          <w:rFonts w:ascii="Stone Sans II ITC Com Lt" w:hAnsi="Stone Sans II ITC Com Lt" w:cs="Arial"/>
          <w:color w:val="000000" w:themeColor="text1"/>
          <w:sz w:val="20"/>
        </w:rPr>
        <w:t>.2024</w:t>
      </w:r>
    </w:p>
    <w:p w14:paraId="2C75F830" w14:textId="20646718" w:rsidR="00A5514E" w:rsidRDefault="00A5514E" w:rsidP="00F05BFD">
      <w:pPr>
        <w:pStyle w:val="Default"/>
        <w:spacing w:line="360" w:lineRule="auto"/>
        <w:rPr>
          <w:rFonts w:ascii="Stone Sans II ITC Com Bk" w:hAnsi="Stone Sans II ITC Com Bk"/>
        </w:rPr>
      </w:pPr>
    </w:p>
    <w:p w14:paraId="1D24D016" w14:textId="77777777" w:rsidR="002576EC" w:rsidRDefault="002576EC" w:rsidP="00F05BFD">
      <w:pPr>
        <w:pStyle w:val="Default"/>
        <w:spacing w:line="360" w:lineRule="auto"/>
        <w:rPr>
          <w:rFonts w:ascii="Stone Sans II ITC Com Bk" w:hAnsi="Stone Sans II ITC Com Bk"/>
        </w:rPr>
      </w:pPr>
    </w:p>
    <w:p w14:paraId="12A0F957" w14:textId="520A512E" w:rsidR="002576EC" w:rsidRDefault="00F73A8E" w:rsidP="00F05BFD">
      <w:pPr>
        <w:pStyle w:val="Default"/>
        <w:spacing w:line="360" w:lineRule="auto"/>
        <w:rPr>
          <w:rFonts w:ascii="Stone Sans II ITC Com Bk" w:hAnsi="Stone Sans II ITC Com Bk"/>
          <w:b/>
          <w:bCs/>
        </w:rPr>
      </w:pPr>
      <w:r w:rsidRPr="00D41F93">
        <w:rPr>
          <w:rFonts w:ascii="Stone Sans II ITC Com Bk" w:hAnsi="Stone Sans II ITC Com Bk"/>
          <w:b/>
          <w:bCs/>
        </w:rPr>
        <w:t xml:space="preserve">ACO </w:t>
      </w:r>
      <w:r w:rsidR="00904FBC">
        <w:rPr>
          <w:rFonts w:ascii="Stone Sans II ITC Com Bk" w:hAnsi="Stone Sans II ITC Com Bk"/>
          <w:b/>
          <w:bCs/>
        </w:rPr>
        <w:t>zeigt</w:t>
      </w:r>
      <w:r w:rsidRPr="00D41F93">
        <w:rPr>
          <w:rFonts w:ascii="Stone Sans II ITC Com Bk" w:hAnsi="Stone Sans II ITC Com Bk"/>
          <w:b/>
          <w:bCs/>
        </w:rPr>
        <w:t xml:space="preserve"> k</w:t>
      </w:r>
      <w:r w:rsidR="00BB02C7" w:rsidRPr="00D41F93">
        <w:rPr>
          <w:rFonts w:ascii="Stone Sans II ITC Com Bk" w:hAnsi="Stone Sans II ITC Com Bk"/>
          <w:b/>
          <w:bCs/>
        </w:rPr>
        <w:t xml:space="preserve">limaresiliente Lösungen </w:t>
      </w:r>
      <w:r w:rsidR="007C26F0">
        <w:rPr>
          <w:rFonts w:ascii="Stone Sans II ITC Com Bk" w:hAnsi="Stone Sans II ITC Com Bk"/>
          <w:b/>
          <w:bCs/>
        </w:rPr>
        <w:t>auf der</w:t>
      </w:r>
      <w:r w:rsidR="006575E9" w:rsidRPr="00D41F93">
        <w:rPr>
          <w:rFonts w:ascii="Stone Sans II ITC Com Bk" w:hAnsi="Stone Sans II ITC Com Bk"/>
          <w:b/>
          <w:bCs/>
        </w:rPr>
        <w:t xml:space="preserve"> </w:t>
      </w:r>
      <w:r w:rsidR="00BB02C7" w:rsidRPr="00D41F93">
        <w:rPr>
          <w:rFonts w:ascii="Stone Sans II ITC Com Bk" w:hAnsi="Stone Sans II ITC Com Bk"/>
          <w:b/>
          <w:bCs/>
        </w:rPr>
        <w:t>IFAT 2024</w:t>
      </w:r>
    </w:p>
    <w:p w14:paraId="7BA69BFC" w14:textId="77777777" w:rsidR="00C55AE2" w:rsidRPr="00D41F93" w:rsidRDefault="00C55AE2" w:rsidP="00F05BFD">
      <w:pPr>
        <w:pStyle w:val="Default"/>
        <w:spacing w:line="360" w:lineRule="auto"/>
        <w:rPr>
          <w:rFonts w:ascii="Stone Sans II ITC Com Bk" w:hAnsi="Stone Sans II ITC Com Bk"/>
          <w:b/>
          <w:bCs/>
        </w:rPr>
      </w:pPr>
    </w:p>
    <w:p w14:paraId="5266EBE5" w14:textId="7379698C" w:rsidR="00C55AE2" w:rsidRDefault="0042722F" w:rsidP="00F05BFD">
      <w:pPr>
        <w:pStyle w:val="Default"/>
        <w:spacing w:line="360" w:lineRule="auto"/>
        <w:rPr>
          <w:rFonts w:ascii="Stone Sans II ITC Com Bk" w:hAnsi="Stone Sans II ITC Com Bk"/>
        </w:rPr>
      </w:pPr>
      <w:r>
        <w:rPr>
          <w:rFonts w:ascii="Stone Sans II ITC Com Bk" w:hAnsi="Stone Sans II ITC Com Bk"/>
        </w:rPr>
        <w:t xml:space="preserve">Das Leitthema der IFAT Munich 2024 ist: Anpassungen an die Folgen des Klimawandels. </w:t>
      </w:r>
      <w:r w:rsidR="00B27299" w:rsidRPr="00326600">
        <w:rPr>
          <w:rFonts w:ascii="Stone Sans II ITC Com Bk" w:hAnsi="Stone Sans II ITC Com Bk"/>
        </w:rPr>
        <w:t xml:space="preserve">Die Folgen sind bereits stark spürbar. </w:t>
      </w:r>
      <w:r w:rsidR="00115B09">
        <w:rPr>
          <w:rFonts w:ascii="Stone Sans II ITC Com Bk" w:hAnsi="Stone Sans II ITC Com Bk"/>
        </w:rPr>
        <w:t>Bei Starkregen en</w:t>
      </w:r>
      <w:r w:rsidR="00D77F28" w:rsidRPr="00326600">
        <w:rPr>
          <w:rFonts w:ascii="Stone Sans II ITC Com Bk" w:hAnsi="Stone Sans II ITC Com Bk"/>
        </w:rPr>
        <w:t xml:space="preserve">tstehen </w:t>
      </w:r>
      <w:r w:rsidR="007A111F" w:rsidRPr="00326600">
        <w:rPr>
          <w:rFonts w:ascii="Stone Sans II ITC Com Bk" w:hAnsi="Stone Sans II ITC Com Bk"/>
        </w:rPr>
        <w:t xml:space="preserve">in kurzer Zeit </w:t>
      </w:r>
      <w:r w:rsidR="00D77F28" w:rsidRPr="00326600">
        <w:rPr>
          <w:rFonts w:ascii="Stone Sans II ITC Com Bk" w:hAnsi="Stone Sans II ITC Com Bk"/>
        </w:rPr>
        <w:t>große Wassermassen</w:t>
      </w:r>
      <w:r w:rsidR="007A111F" w:rsidRPr="00326600">
        <w:rPr>
          <w:rFonts w:ascii="Stone Sans II ITC Com Bk" w:hAnsi="Stone Sans II ITC Com Bk"/>
        </w:rPr>
        <w:t>,</w:t>
      </w:r>
      <w:r w:rsidR="00D77F28" w:rsidRPr="00326600">
        <w:rPr>
          <w:rFonts w:ascii="Stone Sans II ITC Com Bk" w:hAnsi="Stone Sans II ITC Com Bk"/>
        </w:rPr>
        <w:t xml:space="preserve"> </w:t>
      </w:r>
      <w:r w:rsidR="00115B09">
        <w:rPr>
          <w:rFonts w:ascii="Stone Sans II ITC Com Bk" w:hAnsi="Stone Sans II ITC Com Bk"/>
        </w:rPr>
        <w:t>wobei in</w:t>
      </w:r>
      <w:r w:rsidR="004B748E" w:rsidRPr="00326600">
        <w:rPr>
          <w:rFonts w:ascii="Stone Sans II ITC Com Bk" w:hAnsi="Stone Sans II ITC Com Bk"/>
        </w:rPr>
        <w:t xml:space="preserve"> Dürrezeiten </w:t>
      </w:r>
      <w:r w:rsidR="007A111F" w:rsidRPr="00326600">
        <w:rPr>
          <w:rFonts w:ascii="Stone Sans II ITC Com Bk" w:hAnsi="Stone Sans II ITC Com Bk"/>
        </w:rPr>
        <w:t xml:space="preserve">für die Vegetation über </w:t>
      </w:r>
      <w:r w:rsidR="00710A67" w:rsidRPr="00326600">
        <w:rPr>
          <w:rFonts w:ascii="Stone Sans II ITC Com Bk" w:hAnsi="Stone Sans II ITC Com Bk"/>
        </w:rPr>
        <w:t>einen längeren Zeitraum</w:t>
      </w:r>
      <w:r w:rsidR="00A16B13" w:rsidRPr="00326600">
        <w:rPr>
          <w:rFonts w:ascii="Stone Sans II ITC Com Bk" w:hAnsi="Stone Sans II ITC Com Bk"/>
        </w:rPr>
        <w:t xml:space="preserve"> keines vorhanden</w:t>
      </w:r>
      <w:r w:rsidR="0068082B">
        <w:rPr>
          <w:rFonts w:ascii="Stone Sans II ITC Com Bk" w:hAnsi="Stone Sans II ITC Com Bk"/>
        </w:rPr>
        <w:t xml:space="preserve"> ist</w:t>
      </w:r>
      <w:r w:rsidR="00A16B13" w:rsidRPr="00326600">
        <w:rPr>
          <w:rFonts w:ascii="Stone Sans II ITC Com Bk" w:hAnsi="Stone Sans II ITC Com Bk"/>
        </w:rPr>
        <w:t>.</w:t>
      </w:r>
      <w:r w:rsidR="00C71CBB" w:rsidRPr="00326600">
        <w:rPr>
          <w:rFonts w:ascii="Stone Sans II ITC Com Bk" w:hAnsi="Stone Sans II ITC Com Bk"/>
        </w:rPr>
        <w:t xml:space="preserve"> </w:t>
      </w:r>
      <w:r w:rsidR="00C112A6" w:rsidRPr="00326600">
        <w:rPr>
          <w:rFonts w:ascii="Stone Sans II ITC Com Bk" w:hAnsi="Stone Sans II ITC Com Bk"/>
        </w:rPr>
        <w:t>Dafür müssen ganzheitliche Lösungen geschaffen werden, um die wertvolle Ressource</w:t>
      </w:r>
      <w:r w:rsidR="00E538CA" w:rsidRPr="00326600">
        <w:rPr>
          <w:rFonts w:ascii="Stone Sans II ITC Com Bk" w:hAnsi="Stone Sans II ITC Com Bk"/>
        </w:rPr>
        <w:t xml:space="preserve"> Wasser</w:t>
      </w:r>
      <w:r w:rsidR="00C112A6" w:rsidRPr="00326600">
        <w:rPr>
          <w:rFonts w:ascii="Stone Sans II ITC Com Bk" w:hAnsi="Stone Sans II ITC Com Bk"/>
        </w:rPr>
        <w:t xml:space="preserve"> </w:t>
      </w:r>
      <w:r w:rsidR="00E538CA" w:rsidRPr="00326600">
        <w:rPr>
          <w:rFonts w:ascii="Stone Sans II ITC Com Bk" w:hAnsi="Stone Sans II ITC Com Bk"/>
        </w:rPr>
        <w:t xml:space="preserve">nachhaltig zu </w:t>
      </w:r>
      <w:r w:rsidR="00710A67" w:rsidRPr="00326600">
        <w:rPr>
          <w:rFonts w:ascii="Stone Sans II ITC Com Bk" w:hAnsi="Stone Sans II ITC Com Bk"/>
        </w:rPr>
        <w:t xml:space="preserve">speichern und zu </w:t>
      </w:r>
      <w:r w:rsidR="00E538CA" w:rsidRPr="00326600">
        <w:rPr>
          <w:rFonts w:ascii="Stone Sans II ITC Com Bk" w:hAnsi="Stone Sans II ITC Com Bk"/>
        </w:rPr>
        <w:t>nutzen.</w:t>
      </w:r>
      <w:r w:rsidR="00066D1B">
        <w:rPr>
          <w:rFonts w:ascii="Stone Sans II ITC Com Bk" w:hAnsi="Stone Sans II ITC Com Bk"/>
        </w:rPr>
        <w:t xml:space="preserve"> </w:t>
      </w:r>
      <w:r w:rsidR="008B0BC3">
        <w:rPr>
          <w:rFonts w:ascii="Stone Sans II ITC Com Bk" w:hAnsi="Stone Sans II ITC Com Bk"/>
        </w:rPr>
        <w:t>ACO, d</w:t>
      </w:r>
      <w:r w:rsidR="00066D1B">
        <w:rPr>
          <w:rFonts w:ascii="Stone Sans II ITC Com Bk" w:hAnsi="Stone Sans II ITC Com Bk"/>
        </w:rPr>
        <w:t xml:space="preserve">as WaterTech-Unternehmen </w:t>
      </w:r>
      <w:r w:rsidR="008B0BC3">
        <w:rPr>
          <w:rFonts w:ascii="Stone Sans II ITC Com Bk" w:hAnsi="Stone Sans II ITC Com Bk"/>
        </w:rPr>
        <w:t xml:space="preserve">aus Büdelsdorf, Schleswig-Holstein </w:t>
      </w:r>
      <w:r w:rsidR="00D92022">
        <w:rPr>
          <w:rFonts w:ascii="Stone Sans II ITC Com Bk" w:hAnsi="Stone Sans II ITC Com Bk"/>
        </w:rPr>
        <w:t>ist der</w:t>
      </w:r>
      <w:r w:rsidR="008B0BC3">
        <w:rPr>
          <w:rFonts w:ascii="Stone Sans II ITC Com Bk" w:hAnsi="Stone Sans II ITC Com Bk"/>
        </w:rPr>
        <w:t xml:space="preserve"> </w:t>
      </w:r>
      <w:r w:rsidR="009A3004">
        <w:rPr>
          <w:rFonts w:ascii="Stone Sans II ITC Com Bk" w:hAnsi="Stone Sans II ITC Com Bk"/>
        </w:rPr>
        <w:t>Lösungsanbieter</w:t>
      </w:r>
      <w:r w:rsidR="00323D5A">
        <w:rPr>
          <w:rFonts w:ascii="Stone Sans II ITC Com Bk" w:hAnsi="Stone Sans II ITC Com Bk"/>
        </w:rPr>
        <w:t xml:space="preserve">. Mit </w:t>
      </w:r>
      <w:r w:rsidR="001C5CCB">
        <w:rPr>
          <w:rFonts w:ascii="Stone Sans II ITC Com Bk" w:hAnsi="Stone Sans II ITC Com Bk"/>
        </w:rPr>
        <w:t>den Produkt</w:t>
      </w:r>
      <w:r w:rsidR="00DE017A">
        <w:rPr>
          <w:rFonts w:ascii="Stone Sans II ITC Com Bk" w:hAnsi="Stone Sans II ITC Com Bk"/>
        </w:rPr>
        <w:t>systemen</w:t>
      </w:r>
      <w:r w:rsidR="001C5CCB">
        <w:rPr>
          <w:rFonts w:ascii="Stone Sans II ITC Com Bk" w:hAnsi="Stone Sans II ITC Com Bk"/>
        </w:rPr>
        <w:t xml:space="preserve"> entlang des ACO WaterCycle</w:t>
      </w:r>
      <w:r w:rsidR="00667B2B">
        <w:rPr>
          <w:rFonts w:ascii="Stone Sans II ITC Com Bk" w:hAnsi="Stone Sans II ITC Com Bk"/>
        </w:rPr>
        <w:t xml:space="preserve"> unterstützt</w:t>
      </w:r>
      <w:r w:rsidR="00B70644">
        <w:rPr>
          <w:rFonts w:ascii="Stone Sans II ITC Com Bk" w:hAnsi="Stone Sans II ITC Com Bk"/>
        </w:rPr>
        <w:t xml:space="preserve"> es</w:t>
      </w:r>
      <w:r w:rsidR="00667B2B">
        <w:rPr>
          <w:rFonts w:ascii="Stone Sans II ITC Com Bk" w:hAnsi="Stone Sans II ITC Com Bk"/>
        </w:rPr>
        <w:t xml:space="preserve"> </w:t>
      </w:r>
      <w:r w:rsidR="00C540E6">
        <w:rPr>
          <w:rFonts w:ascii="Stone Sans II ITC Com Bk" w:hAnsi="Stone Sans II ITC Com Bk"/>
        </w:rPr>
        <w:t xml:space="preserve">dabei </w:t>
      </w:r>
      <w:r w:rsidR="00BA04F4" w:rsidRPr="00BA04F4">
        <w:rPr>
          <w:rFonts w:ascii="Stone Sans II ITC Com Bk" w:hAnsi="Stone Sans II ITC Com Bk"/>
        </w:rPr>
        <w:t>Städte und Gemeinden</w:t>
      </w:r>
      <w:r w:rsidR="006E3858">
        <w:rPr>
          <w:rFonts w:ascii="Stone Sans II ITC Com Bk" w:hAnsi="Stone Sans II ITC Com Bk"/>
        </w:rPr>
        <w:t xml:space="preserve">, sowie Betreiber </w:t>
      </w:r>
      <w:r w:rsidR="00BA04F4" w:rsidRPr="00BA04F4">
        <w:rPr>
          <w:rFonts w:ascii="Stone Sans II ITC Com Bk" w:hAnsi="Stone Sans II ITC Com Bk"/>
        </w:rPr>
        <w:t>widerstandsfähiger gegen die Auswirkungen von extremen Wetterereignissen zu machen.</w:t>
      </w:r>
    </w:p>
    <w:p w14:paraId="4A0B4F0A" w14:textId="77777777" w:rsidR="000E67EA" w:rsidRDefault="000E67EA" w:rsidP="00F05BFD">
      <w:pPr>
        <w:pStyle w:val="Default"/>
        <w:spacing w:line="360" w:lineRule="auto"/>
        <w:rPr>
          <w:rFonts w:ascii="Stone Sans II ITC Com Bk" w:hAnsi="Stone Sans II ITC Com Bk"/>
        </w:rPr>
      </w:pPr>
    </w:p>
    <w:p w14:paraId="5482611D" w14:textId="436BBD34" w:rsidR="000134E5" w:rsidRDefault="000E67EA" w:rsidP="00F05BFD">
      <w:pPr>
        <w:pStyle w:val="Default"/>
        <w:spacing w:line="360" w:lineRule="auto"/>
        <w:rPr>
          <w:rFonts w:ascii="Stone Sans II ITC Com Bk" w:hAnsi="Stone Sans II ITC Com Bk"/>
        </w:rPr>
      </w:pPr>
      <w:r>
        <w:rPr>
          <w:rFonts w:ascii="Stone Sans II ITC Com Bk" w:hAnsi="Stone Sans II ITC Com Bk"/>
        </w:rPr>
        <w:t xml:space="preserve">Auf der IFAT </w:t>
      </w:r>
      <w:r w:rsidR="001E7191">
        <w:rPr>
          <w:rFonts w:ascii="Stone Sans II ITC Com Bk" w:hAnsi="Stone Sans II ITC Com Bk"/>
        </w:rPr>
        <w:t>fokussiert sich</w:t>
      </w:r>
      <w:r w:rsidR="00547368">
        <w:rPr>
          <w:rFonts w:ascii="Stone Sans II ITC Com Bk" w:hAnsi="Stone Sans II ITC Com Bk"/>
        </w:rPr>
        <w:t xml:space="preserve"> das Unternehmen </w:t>
      </w:r>
      <w:r w:rsidR="001E7191">
        <w:rPr>
          <w:rFonts w:ascii="Stone Sans II ITC Com Bk" w:hAnsi="Stone Sans II ITC Com Bk"/>
        </w:rPr>
        <w:t>auf die</w:t>
      </w:r>
      <w:r w:rsidR="00547368">
        <w:rPr>
          <w:rFonts w:ascii="Stone Sans II ITC Com Bk" w:hAnsi="Stone Sans II ITC Com Bk"/>
        </w:rPr>
        <w:t xml:space="preserve"> Bereiche Highway</w:t>
      </w:r>
      <w:r w:rsidR="00C832A3">
        <w:rPr>
          <w:rFonts w:ascii="Stone Sans II ITC Com Bk" w:hAnsi="Stone Sans II ITC Com Bk"/>
        </w:rPr>
        <w:t>s</w:t>
      </w:r>
      <w:r w:rsidR="00A7073F">
        <w:rPr>
          <w:rFonts w:ascii="Stone Sans II ITC Com Bk" w:hAnsi="Stone Sans II ITC Com Bk"/>
        </w:rPr>
        <w:t xml:space="preserve">, </w:t>
      </w:r>
      <w:r w:rsidR="005A7373">
        <w:rPr>
          <w:rFonts w:ascii="Stone Sans II ITC Com Bk" w:hAnsi="Stone Sans II ITC Com Bk"/>
        </w:rPr>
        <w:t>Blue</w:t>
      </w:r>
      <w:r w:rsidR="003F08B4">
        <w:rPr>
          <w:rFonts w:ascii="Stone Sans II ITC Com Bk" w:hAnsi="Stone Sans II ITC Com Bk"/>
        </w:rPr>
        <w:t>-</w:t>
      </w:r>
      <w:r w:rsidR="005A7373">
        <w:rPr>
          <w:rFonts w:ascii="Stone Sans II ITC Com Bk" w:hAnsi="Stone Sans II ITC Com Bk"/>
        </w:rPr>
        <w:t>Green</w:t>
      </w:r>
      <w:r w:rsidR="00A7073F">
        <w:rPr>
          <w:rFonts w:ascii="Stone Sans II ITC Com Bk" w:hAnsi="Stone Sans II ITC Com Bk"/>
        </w:rPr>
        <w:t xml:space="preserve"> Infrastructure und Industrial</w:t>
      </w:r>
      <w:r w:rsidR="001E7191">
        <w:rPr>
          <w:rFonts w:ascii="Stone Sans II ITC Com Bk" w:hAnsi="Stone Sans II ITC Com Bk"/>
        </w:rPr>
        <w:t>.</w:t>
      </w:r>
      <w:r w:rsidR="00DA30C0">
        <w:rPr>
          <w:rFonts w:ascii="Stone Sans II ITC Com Bk" w:hAnsi="Stone Sans II ITC Com Bk"/>
        </w:rPr>
        <w:t xml:space="preserve"> Wesentlich dabei ist </w:t>
      </w:r>
      <w:r w:rsidR="00E444C2">
        <w:rPr>
          <w:rFonts w:ascii="Stone Sans II ITC Com Bk" w:hAnsi="Stone Sans II ITC Com Bk"/>
        </w:rPr>
        <w:t>die schnelle und sichere Aufnahme</w:t>
      </w:r>
      <w:r w:rsidR="006A448E">
        <w:rPr>
          <w:rFonts w:ascii="Stone Sans II ITC Com Bk" w:hAnsi="Stone Sans II ITC Com Bk"/>
        </w:rPr>
        <w:t xml:space="preserve"> des </w:t>
      </w:r>
      <w:r w:rsidR="000509A8">
        <w:rPr>
          <w:rFonts w:ascii="Stone Sans II ITC Com Bk" w:hAnsi="Stone Sans II ITC Com Bk"/>
        </w:rPr>
        <w:t>Regenw</w:t>
      </w:r>
      <w:r w:rsidR="006A448E">
        <w:rPr>
          <w:rFonts w:ascii="Stone Sans II ITC Com Bk" w:hAnsi="Stone Sans II ITC Com Bk"/>
        </w:rPr>
        <w:t>assers, die Reinigung, die Speicherung wie auch eine bedarfsgerechte Nutzung</w:t>
      </w:r>
      <w:r w:rsidR="00BF42C2">
        <w:rPr>
          <w:rFonts w:ascii="Stone Sans II ITC Com Bk" w:hAnsi="Stone Sans II ITC Com Bk"/>
        </w:rPr>
        <w:t xml:space="preserve"> zur Bewässerung von Stadtbäumen</w:t>
      </w:r>
      <w:r w:rsidR="000509A8">
        <w:rPr>
          <w:rFonts w:ascii="Stone Sans II ITC Com Bk" w:hAnsi="Stone Sans II ITC Com Bk"/>
        </w:rPr>
        <w:t xml:space="preserve">. </w:t>
      </w:r>
    </w:p>
    <w:p w14:paraId="0FC66493" w14:textId="77777777" w:rsidR="00BD49AB" w:rsidRDefault="00BD49AB" w:rsidP="00F05BFD">
      <w:pPr>
        <w:pStyle w:val="Default"/>
        <w:spacing w:line="360" w:lineRule="auto"/>
        <w:rPr>
          <w:rFonts w:ascii="Stone Sans II ITC Com Bk" w:hAnsi="Stone Sans II ITC Com Bk"/>
        </w:rPr>
      </w:pPr>
    </w:p>
    <w:p w14:paraId="310FC812" w14:textId="77777777" w:rsidR="00E873D6" w:rsidRDefault="00E873D6">
      <w:pPr>
        <w:rPr>
          <w:rFonts w:ascii="Stone Sans II ITC Com Bk" w:hAnsi="Stone Sans II ITC Com Bk" w:cs="Arial"/>
          <w:b/>
          <w:bCs/>
          <w:color w:val="000000"/>
          <w:sz w:val="24"/>
          <w:szCs w:val="24"/>
        </w:rPr>
      </w:pPr>
      <w:r>
        <w:rPr>
          <w:rFonts w:ascii="Stone Sans II ITC Com Bk" w:hAnsi="Stone Sans II ITC Com Bk"/>
          <w:b/>
          <w:bCs/>
        </w:rPr>
        <w:br w:type="page"/>
      </w:r>
    </w:p>
    <w:p w14:paraId="17734338" w14:textId="00D61C7E" w:rsidR="00BD49AB" w:rsidRPr="008765CA" w:rsidRDefault="00BD49AB" w:rsidP="00F05BFD">
      <w:pPr>
        <w:pStyle w:val="Default"/>
        <w:spacing w:line="360" w:lineRule="auto"/>
        <w:rPr>
          <w:rFonts w:ascii="Stone Sans II ITC Com Bk" w:hAnsi="Stone Sans II ITC Com Bk"/>
          <w:b/>
          <w:bCs/>
        </w:rPr>
      </w:pPr>
      <w:r w:rsidRPr="008765CA">
        <w:rPr>
          <w:rFonts w:ascii="Stone Sans II ITC Com Bk" w:hAnsi="Stone Sans II ITC Com Bk"/>
          <w:b/>
          <w:bCs/>
        </w:rPr>
        <w:lastRenderedPageBreak/>
        <w:t>Highways</w:t>
      </w:r>
      <w:r w:rsidR="008765CA" w:rsidRPr="008765CA">
        <w:rPr>
          <w:rFonts w:ascii="Stone Sans II ITC Com Bk" w:hAnsi="Stone Sans II ITC Com Bk"/>
          <w:b/>
          <w:bCs/>
        </w:rPr>
        <w:t xml:space="preserve"> – Entwässerungslösungen auf Fernstraßen</w:t>
      </w:r>
    </w:p>
    <w:p w14:paraId="5F02E1E8" w14:textId="0D942DE4" w:rsidR="00790A5F" w:rsidRDefault="00FA480C" w:rsidP="00790A5F">
      <w:pPr>
        <w:pStyle w:val="Default"/>
        <w:spacing w:line="360" w:lineRule="auto"/>
        <w:rPr>
          <w:rFonts w:ascii="Stone Sans II ITC Com Bk" w:hAnsi="Stone Sans II ITC Com Bk"/>
        </w:rPr>
      </w:pPr>
      <w:r>
        <w:rPr>
          <w:rFonts w:ascii="Stone Sans II ITC Com Bk" w:hAnsi="Stone Sans II ITC Com Bk"/>
        </w:rPr>
        <w:t>D</w:t>
      </w:r>
      <w:r w:rsidR="00A22593">
        <w:rPr>
          <w:rFonts w:ascii="Stone Sans II ITC Com Bk" w:hAnsi="Stone Sans II ITC Com Bk"/>
        </w:rPr>
        <w:t>ie Aufnahme</w:t>
      </w:r>
      <w:r w:rsidR="00490779">
        <w:rPr>
          <w:rFonts w:ascii="Stone Sans II ITC Com Bk" w:hAnsi="Stone Sans II ITC Com Bk"/>
        </w:rPr>
        <w:t xml:space="preserve"> des Regenwassers auf Autobahnen und Fernstraßen</w:t>
      </w:r>
      <w:r>
        <w:rPr>
          <w:rFonts w:ascii="Stone Sans II ITC Com Bk" w:hAnsi="Stone Sans II ITC Com Bk"/>
        </w:rPr>
        <w:t xml:space="preserve"> muss effizient</w:t>
      </w:r>
      <w:r w:rsidR="00A22593">
        <w:rPr>
          <w:rFonts w:ascii="Stone Sans II ITC Com Bk" w:hAnsi="Stone Sans II ITC Com Bk"/>
        </w:rPr>
        <w:t xml:space="preserve"> sein</w:t>
      </w:r>
      <w:r w:rsidR="001F580C">
        <w:rPr>
          <w:rFonts w:ascii="Stone Sans II ITC Com Bk" w:hAnsi="Stone Sans II ITC Com Bk"/>
        </w:rPr>
        <w:t xml:space="preserve">. ACO bietet hierfür zwei </w:t>
      </w:r>
      <w:r w:rsidR="006D7561">
        <w:rPr>
          <w:rFonts w:ascii="Stone Sans II ITC Com Bk" w:hAnsi="Stone Sans II ITC Com Bk"/>
        </w:rPr>
        <w:t xml:space="preserve">Möglichkeiten der Entwässerung – punktuell oder linear. </w:t>
      </w:r>
      <w:r w:rsidR="00653A55">
        <w:rPr>
          <w:rFonts w:ascii="Stone Sans II ITC Com Bk" w:hAnsi="Stone Sans II ITC Com Bk"/>
        </w:rPr>
        <w:t>Erstmalig zeigt das Unternehmen den Brücke</w:t>
      </w:r>
      <w:r w:rsidR="00955473">
        <w:rPr>
          <w:rFonts w:ascii="Stone Sans II ITC Com Bk" w:hAnsi="Stone Sans II ITC Com Bk"/>
        </w:rPr>
        <w:t>n</w:t>
      </w:r>
      <w:r w:rsidR="00653A55">
        <w:rPr>
          <w:rFonts w:ascii="Stone Sans II ITC Com Bk" w:hAnsi="Stone Sans II ITC Com Bk"/>
        </w:rPr>
        <w:t>ablauf</w:t>
      </w:r>
      <w:r w:rsidR="00955473">
        <w:rPr>
          <w:rFonts w:ascii="Stone Sans II ITC Com Bk" w:hAnsi="Stone Sans II ITC Com Bk"/>
        </w:rPr>
        <w:t xml:space="preserve"> Aqua Plus aus der Multitop Produktfamilie. </w:t>
      </w:r>
      <w:r w:rsidR="00790A5F">
        <w:rPr>
          <w:rFonts w:ascii="Stone Sans II ITC Com Bk" w:hAnsi="Stone Sans II ITC Com Bk"/>
        </w:rPr>
        <w:t xml:space="preserve">Er </w:t>
      </w:r>
      <w:r w:rsidR="00790A5F" w:rsidRPr="00790A5F">
        <w:rPr>
          <w:rFonts w:ascii="Stone Sans II ITC Com Bk" w:hAnsi="Stone Sans II ITC Com Bk"/>
        </w:rPr>
        <w:t>zeichnet sich insbesondere durch die breiten Schlitze sowie einen großen Einlaufquerschnitt aus. Aufgrund der hydraulisch optimierten Schlitzgeometrie wird mit dem Wasser angeschleppter Schmutz in den Ablauf gespült. Die Verstopfungsgefahr wird minimiert, Aquaplaning wird verhindert.</w:t>
      </w:r>
      <w:r w:rsidR="0009286F">
        <w:rPr>
          <w:rFonts w:ascii="Stone Sans II ITC Com Bk" w:hAnsi="Stone Sans II ITC Com Bk"/>
        </w:rPr>
        <w:t xml:space="preserve"> </w:t>
      </w:r>
      <w:r w:rsidR="006278C0">
        <w:rPr>
          <w:rFonts w:ascii="Stone Sans II ITC Com Bk" w:hAnsi="Stone Sans II ITC Com Bk"/>
        </w:rPr>
        <w:t>Der</w:t>
      </w:r>
      <w:r w:rsidR="00790A5F" w:rsidRPr="00790A5F">
        <w:rPr>
          <w:rFonts w:ascii="Stone Sans II ITC Com Bk" w:hAnsi="Stone Sans II ITC Com Bk"/>
        </w:rPr>
        <w:t xml:space="preserve"> Rost</w:t>
      </w:r>
      <w:r w:rsidR="003E6412">
        <w:rPr>
          <w:rFonts w:ascii="Stone Sans II ITC Com Bk" w:hAnsi="Stone Sans II ITC Com Bk"/>
        </w:rPr>
        <w:t xml:space="preserve"> wird </w:t>
      </w:r>
      <w:r w:rsidR="009D7D34">
        <w:rPr>
          <w:rFonts w:ascii="Stone Sans II ITC Com Bk" w:hAnsi="Stone Sans II ITC Com Bk"/>
        </w:rPr>
        <w:t xml:space="preserve">schraublos </w:t>
      </w:r>
      <w:r w:rsidR="003E6412">
        <w:rPr>
          <w:rFonts w:ascii="Stone Sans II ITC Com Bk" w:hAnsi="Stone Sans II ITC Com Bk"/>
        </w:rPr>
        <w:t>arretiert und is</w:t>
      </w:r>
      <w:r w:rsidR="006278C0">
        <w:rPr>
          <w:rFonts w:ascii="Stone Sans II ITC Com Bk" w:hAnsi="Stone Sans II ITC Com Bk"/>
        </w:rPr>
        <w:t xml:space="preserve">t </w:t>
      </w:r>
      <w:r w:rsidR="00790A5F" w:rsidRPr="00790A5F">
        <w:rPr>
          <w:rFonts w:ascii="Stone Sans II ITC Com Bk" w:hAnsi="Stone Sans II ITC Com Bk"/>
        </w:rPr>
        <w:t>durch einen drehbaren Verschluss gesichert.</w:t>
      </w:r>
    </w:p>
    <w:p w14:paraId="23C3C25E" w14:textId="77777777" w:rsidR="002630E4" w:rsidRDefault="002630E4" w:rsidP="00790A5F">
      <w:pPr>
        <w:pStyle w:val="Default"/>
        <w:spacing w:line="360" w:lineRule="auto"/>
        <w:rPr>
          <w:rFonts w:ascii="Stone Sans II ITC Com Bk" w:hAnsi="Stone Sans II ITC Com Bk"/>
        </w:rPr>
      </w:pPr>
    </w:p>
    <w:p w14:paraId="6244204E" w14:textId="11095FA5" w:rsidR="00FF6814" w:rsidRPr="00FF6814" w:rsidRDefault="00717888" w:rsidP="00FF6814">
      <w:pPr>
        <w:pStyle w:val="Default"/>
        <w:spacing w:line="360" w:lineRule="auto"/>
        <w:rPr>
          <w:rFonts w:ascii="Stone Sans II ITC Com Bk" w:hAnsi="Stone Sans II ITC Com Bk"/>
        </w:rPr>
      </w:pPr>
      <w:r>
        <w:rPr>
          <w:rFonts w:ascii="Stone Sans II ITC Com Bk" w:hAnsi="Stone Sans II ITC Com Bk"/>
        </w:rPr>
        <w:t xml:space="preserve">Das Original </w:t>
      </w:r>
      <w:r w:rsidR="00643835">
        <w:rPr>
          <w:rFonts w:ascii="Stone Sans II ITC Com Bk" w:hAnsi="Stone Sans II ITC Com Bk"/>
        </w:rPr>
        <w:t>in der linearen Brückenentwässerung</w:t>
      </w:r>
      <w:r w:rsidR="00D15547">
        <w:rPr>
          <w:rFonts w:ascii="Stone Sans II ITC Com Bk" w:hAnsi="Stone Sans II ITC Com Bk"/>
        </w:rPr>
        <w:t xml:space="preserve"> wie auch </w:t>
      </w:r>
      <w:r w:rsidR="00AB0836">
        <w:rPr>
          <w:rFonts w:ascii="Stone Sans II ITC Com Bk" w:hAnsi="Stone Sans II ITC Com Bk"/>
        </w:rPr>
        <w:t>auf Autobahnen</w:t>
      </w:r>
      <w:r w:rsidR="00643835">
        <w:rPr>
          <w:rFonts w:ascii="Stone Sans II ITC Com Bk" w:hAnsi="Stone Sans II ITC Com Bk"/>
        </w:rPr>
        <w:t xml:space="preserve"> ist die </w:t>
      </w:r>
      <w:r w:rsidR="00AB0836">
        <w:rPr>
          <w:rFonts w:ascii="Stone Sans II ITC Com Bk" w:hAnsi="Stone Sans II ITC Com Bk"/>
        </w:rPr>
        <w:t xml:space="preserve">Hohlbordrinne </w:t>
      </w:r>
      <w:r w:rsidR="006D7AEF">
        <w:rPr>
          <w:rFonts w:ascii="Stone Sans II ITC Com Bk" w:hAnsi="Stone Sans II ITC Com Bk"/>
        </w:rPr>
        <w:t xml:space="preserve">ACO DRAIN® </w:t>
      </w:r>
      <w:r w:rsidR="00643835">
        <w:rPr>
          <w:rFonts w:ascii="Stone Sans II ITC Com Bk" w:hAnsi="Stone Sans II ITC Com Bk"/>
        </w:rPr>
        <w:t>KerbDrain</w:t>
      </w:r>
      <w:r w:rsidR="00AB0836">
        <w:rPr>
          <w:rFonts w:ascii="Stone Sans II ITC Com Bk" w:hAnsi="Stone Sans II ITC Com Bk"/>
        </w:rPr>
        <w:t xml:space="preserve">. </w:t>
      </w:r>
      <w:r w:rsidR="00FF6814">
        <w:rPr>
          <w:rFonts w:ascii="Stone Sans II ITC Com Bk" w:hAnsi="Stone Sans II ITC Com Bk"/>
        </w:rPr>
        <w:t>D</w:t>
      </w:r>
      <w:r w:rsidR="00FF6814" w:rsidRPr="00FF6814">
        <w:rPr>
          <w:rFonts w:ascii="Stone Sans II ITC Com Bk" w:hAnsi="Stone Sans II ITC Com Bk"/>
        </w:rPr>
        <w:t>ie</w:t>
      </w:r>
      <w:r w:rsidR="00FF6814">
        <w:rPr>
          <w:rFonts w:ascii="Stone Sans II ITC Com Bk" w:hAnsi="Stone Sans II ITC Com Bk"/>
        </w:rPr>
        <w:t xml:space="preserve"> </w:t>
      </w:r>
      <w:r w:rsidR="00FF6814" w:rsidRPr="00FF6814">
        <w:rPr>
          <w:rFonts w:ascii="Stone Sans II ITC Com Bk" w:hAnsi="Stone Sans II ITC Com Bk"/>
        </w:rPr>
        <w:t xml:space="preserve">Entwässerung </w:t>
      </w:r>
      <w:r w:rsidR="00FF6814">
        <w:rPr>
          <w:rFonts w:ascii="Stone Sans II ITC Com Bk" w:hAnsi="Stone Sans II ITC Com Bk"/>
        </w:rPr>
        <w:t xml:space="preserve">kommt </w:t>
      </w:r>
      <w:r w:rsidR="00FF6814" w:rsidRPr="00FF6814">
        <w:rPr>
          <w:rFonts w:ascii="Stone Sans II ITC Com Bk" w:hAnsi="Stone Sans II ITC Com Bk"/>
        </w:rPr>
        <w:t>aus der Fahrbahn und sorgt</w:t>
      </w:r>
      <w:r w:rsidR="004D475B">
        <w:rPr>
          <w:rFonts w:ascii="Stone Sans II ITC Com Bk" w:hAnsi="Stone Sans II ITC Com Bk"/>
        </w:rPr>
        <w:t xml:space="preserve"> </w:t>
      </w:r>
      <w:r w:rsidR="00FF6814" w:rsidRPr="00FF6814">
        <w:rPr>
          <w:rFonts w:ascii="Stone Sans II ITC Com Bk" w:hAnsi="Stone Sans II ITC Com Bk"/>
        </w:rPr>
        <w:t>gleichzeitig für einen schnellen</w:t>
      </w:r>
      <w:r w:rsidR="00FF6814">
        <w:rPr>
          <w:rFonts w:ascii="Stone Sans II ITC Com Bk" w:hAnsi="Stone Sans II ITC Com Bk"/>
        </w:rPr>
        <w:t xml:space="preserve"> </w:t>
      </w:r>
      <w:r w:rsidR="00FF6814" w:rsidRPr="00FF6814">
        <w:rPr>
          <w:rFonts w:ascii="Stone Sans II ITC Com Bk" w:hAnsi="Stone Sans II ITC Com Bk"/>
        </w:rPr>
        <w:t>Baufortschritt. Die integrierte Dichtung</w:t>
      </w:r>
      <w:r w:rsidR="00FF6814">
        <w:rPr>
          <w:rFonts w:ascii="Stone Sans II ITC Com Bk" w:hAnsi="Stone Sans II ITC Com Bk"/>
        </w:rPr>
        <w:t xml:space="preserve"> </w:t>
      </w:r>
      <w:r w:rsidR="00FF6814" w:rsidRPr="00FF6814">
        <w:rPr>
          <w:rFonts w:ascii="Stone Sans II ITC Com Bk" w:hAnsi="Stone Sans II ITC Com Bk"/>
        </w:rPr>
        <w:t>aus EPDM dichtet die Stoßfuge zwischen</w:t>
      </w:r>
      <w:r w:rsidR="00FF6814">
        <w:rPr>
          <w:rFonts w:ascii="Stone Sans II ITC Com Bk" w:hAnsi="Stone Sans II ITC Com Bk"/>
        </w:rPr>
        <w:t xml:space="preserve"> </w:t>
      </w:r>
      <w:r w:rsidR="00FF6814" w:rsidRPr="00FF6814">
        <w:rPr>
          <w:rFonts w:ascii="Stone Sans II ITC Com Bk" w:hAnsi="Stone Sans II ITC Com Bk"/>
        </w:rPr>
        <w:t>den Rinnenelementen</w:t>
      </w:r>
      <w:r w:rsidR="00FF6814">
        <w:rPr>
          <w:rFonts w:ascii="Stone Sans II ITC Com Bk" w:hAnsi="Stone Sans II ITC Com Bk"/>
        </w:rPr>
        <w:t xml:space="preserve"> </w:t>
      </w:r>
      <w:r w:rsidR="00FF6814" w:rsidRPr="00FF6814">
        <w:rPr>
          <w:rFonts w:ascii="Stone Sans II ITC Com Bk" w:hAnsi="Stone Sans II ITC Com Bk"/>
        </w:rPr>
        <w:t>wasserundurchlässig ab. Die</w:t>
      </w:r>
      <w:r w:rsidR="004D475B">
        <w:rPr>
          <w:rFonts w:ascii="Stone Sans II ITC Com Bk" w:hAnsi="Stone Sans II ITC Com Bk"/>
        </w:rPr>
        <w:t xml:space="preserve"> </w:t>
      </w:r>
      <w:r w:rsidR="00FF6814" w:rsidRPr="00FF6814">
        <w:rPr>
          <w:rFonts w:ascii="Stone Sans II ITC Com Bk" w:hAnsi="Stone Sans II ITC Com Bk"/>
        </w:rPr>
        <w:t>Produktfamilie ist ein fester Bestandteil der</w:t>
      </w:r>
      <w:r w:rsidR="00FF6814">
        <w:rPr>
          <w:rFonts w:ascii="Stone Sans II ITC Com Bk" w:hAnsi="Stone Sans II ITC Com Bk"/>
        </w:rPr>
        <w:t xml:space="preserve"> „</w:t>
      </w:r>
      <w:r w:rsidR="00FF6814" w:rsidRPr="00FF6814">
        <w:rPr>
          <w:rFonts w:ascii="Stone Sans II ITC Com Bk" w:hAnsi="Stone Sans II ITC Com Bk"/>
        </w:rPr>
        <w:t>Richtlinie für die Entwässerung von</w:t>
      </w:r>
    </w:p>
    <w:p w14:paraId="6F1A5E07" w14:textId="479DCBD9" w:rsidR="00FF6814" w:rsidRPr="00FF6814" w:rsidRDefault="00FF6814" w:rsidP="00FF6814">
      <w:pPr>
        <w:pStyle w:val="Default"/>
        <w:spacing w:line="360" w:lineRule="auto"/>
        <w:rPr>
          <w:rFonts w:ascii="Stone Sans II ITC Com Bk" w:hAnsi="Stone Sans II ITC Com Bk"/>
        </w:rPr>
      </w:pPr>
      <w:r w:rsidRPr="00FF6814">
        <w:rPr>
          <w:rFonts w:ascii="Stone Sans II ITC Com Bk" w:hAnsi="Stone Sans II ITC Com Bk"/>
        </w:rPr>
        <w:t>Straßen (REwS), Ausgabe 2021" und</w:t>
      </w:r>
      <w:r>
        <w:rPr>
          <w:rFonts w:ascii="Stone Sans II ITC Com Bk" w:hAnsi="Stone Sans II ITC Com Bk"/>
        </w:rPr>
        <w:t xml:space="preserve"> </w:t>
      </w:r>
      <w:r w:rsidRPr="00FF6814">
        <w:rPr>
          <w:rFonts w:ascii="Stone Sans II ITC Com Bk" w:hAnsi="Stone Sans II ITC Com Bk"/>
        </w:rPr>
        <w:t>entspricht damit dem aktuellen Stand der</w:t>
      </w:r>
    </w:p>
    <w:p w14:paraId="35B08B62" w14:textId="61962B40" w:rsidR="00717888" w:rsidRDefault="00FF6814" w:rsidP="00FF6814">
      <w:pPr>
        <w:pStyle w:val="Default"/>
        <w:spacing w:line="360" w:lineRule="auto"/>
        <w:rPr>
          <w:rFonts w:ascii="Stone Sans II ITC Com Bk" w:hAnsi="Stone Sans II ITC Com Bk"/>
        </w:rPr>
      </w:pPr>
      <w:r w:rsidRPr="00FF6814">
        <w:rPr>
          <w:rFonts w:ascii="Stone Sans II ITC Com Bk" w:hAnsi="Stone Sans II ITC Com Bk"/>
        </w:rPr>
        <w:t>Technik.</w:t>
      </w:r>
    </w:p>
    <w:p w14:paraId="7DE331F5" w14:textId="77777777" w:rsidR="00C55AE2" w:rsidRDefault="00C55AE2" w:rsidP="00F05BFD">
      <w:pPr>
        <w:pStyle w:val="Default"/>
        <w:spacing w:line="360" w:lineRule="auto"/>
        <w:rPr>
          <w:rFonts w:ascii="Stone Sans II ITC Com Bk" w:hAnsi="Stone Sans II ITC Com Bk"/>
        </w:rPr>
      </w:pPr>
    </w:p>
    <w:p w14:paraId="2D81B11A" w14:textId="46AC7C61" w:rsidR="00145C3C" w:rsidRPr="00145C3C" w:rsidRDefault="00145C3C" w:rsidP="00F05BFD">
      <w:pPr>
        <w:pStyle w:val="Default"/>
        <w:spacing w:line="360" w:lineRule="auto"/>
        <w:rPr>
          <w:rFonts w:ascii="Stone Sans II ITC Com Bk" w:hAnsi="Stone Sans II ITC Com Bk"/>
          <w:b/>
          <w:bCs/>
        </w:rPr>
      </w:pPr>
      <w:r w:rsidRPr="00145C3C">
        <w:rPr>
          <w:rFonts w:ascii="Stone Sans II ITC Com Bk" w:hAnsi="Stone Sans II ITC Com Bk"/>
          <w:b/>
          <w:bCs/>
        </w:rPr>
        <w:t>Blue-Green Infrastru</w:t>
      </w:r>
      <w:r w:rsidR="00CD399E">
        <w:rPr>
          <w:rFonts w:ascii="Stone Sans II ITC Com Bk" w:hAnsi="Stone Sans II ITC Com Bk"/>
          <w:b/>
          <w:bCs/>
        </w:rPr>
        <w:t>c</w:t>
      </w:r>
      <w:r w:rsidRPr="00145C3C">
        <w:rPr>
          <w:rFonts w:ascii="Stone Sans II ITC Com Bk" w:hAnsi="Stone Sans II ITC Com Bk"/>
          <w:b/>
          <w:bCs/>
        </w:rPr>
        <w:t>ture – extreme Wetterereignisse erfordern kluge Entwässerungskonzepte</w:t>
      </w:r>
    </w:p>
    <w:p w14:paraId="474C1A39" w14:textId="5D7A6161" w:rsidR="00145C3C" w:rsidRDefault="003C2BA8" w:rsidP="00F05BFD">
      <w:pPr>
        <w:pStyle w:val="Default"/>
        <w:spacing w:line="360" w:lineRule="auto"/>
        <w:rPr>
          <w:rFonts w:ascii="Stone Sans II ITC Com Bk" w:hAnsi="Stone Sans II ITC Com Bk"/>
        </w:rPr>
      </w:pPr>
      <w:r>
        <w:rPr>
          <w:rFonts w:ascii="Stone Sans II ITC Com Bk" w:hAnsi="Stone Sans II ITC Com Bk"/>
        </w:rPr>
        <w:t>Zu viel Wasser oder Dürr</w:t>
      </w:r>
      <w:r w:rsidR="00A472FE">
        <w:rPr>
          <w:rFonts w:ascii="Stone Sans II ITC Com Bk" w:hAnsi="Stone Sans II ITC Com Bk"/>
        </w:rPr>
        <w:t xml:space="preserve">e – der </w:t>
      </w:r>
      <w:r w:rsidR="00D2291A">
        <w:rPr>
          <w:rFonts w:ascii="Stone Sans II ITC Com Bk" w:hAnsi="Stone Sans II ITC Com Bk"/>
        </w:rPr>
        <w:t xml:space="preserve">wertvolle Umgang mit der Ressource Wasser </w:t>
      </w:r>
      <w:r w:rsidR="00F109EE">
        <w:rPr>
          <w:rFonts w:ascii="Stone Sans II ITC Com Bk" w:hAnsi="Stone Sans II ITC Com Bk"/>
        </w:rPr>
        <w:t xml:space="preserve">ist Bestandteil in der </w:t>
      </w:r>
      <w:r w:rsidR="00BE4790">
        <w:rPr>
          <w:rFonts w:ascii="Stone Sans II ITC Com Bk" w:hAnsi="Stone Sans II ITC Com Bk"/>
        </w:rPr>
        <w:t xml:space="preserve">Planung von Städten und Freiräumen. ACO bietet </w:t>
      </w:r>
      <w:r w:rsidR="00E73259">
        <w:rPr>
          <w:rFonts w:ascii="Stone Sans II ITC Com Bk" w:hAnsi="Stone Sans II ITC Com Bk"/>
        </w:rPr>
        <w:t>wesentliche Bausteine für eine blau-grüne Infrastruktur</w:t>
      </w:r>
      <w:r w:rsidR="00212095">
        <w:rPr>
          <w:rFonts w:ascii="Stone Sans II ITC Com Bk" w:hAnsi="Stone Sans II ITC Com Bk"/>
        </w:rPr>
        <w:t xml:space="preserve"> innerhalb des ACO WaterCycle</w:t>
      </w:r>
      <w:r w:rsidR="00CC196D">
        <w:rPr>
          <w:rFonts w:ascii="Stone Sans II ITC Com Bk" w:hAnsi="Stone Sans II ITC Com Bk"/>
        </w:rPr>
        <w:t>. Dazu zählt die vollständige Regenwasser-Aufnahme</w:t>
      </w:r>
      <w:r w:rsidR="00DD70B1">
        <w:rPr>
          <w:rFonts w:ascii="Stone Sans II ITC Com Bk" w:hAnsi="Stone Sans II ITC Com Bk"/>
        </w:rPr>
        <w:t xml:space="preserve"> über die ACO DRAIN® Multiline aus dem neuen Werkstoff NEXIT</w:t>
      </w:r>
      <w:r w:rsidR="000E71CB">
        <w:rPr>
          <w:rFonts w:ascii="Stone Sans II ITC Com Bk" w:hAnsi="Stone Sans II ITC Com Bk"/>
        </w:rPr>
        <w:t xml:space="preserve">E®, die </w:t>
      </w:r>
      <w:r w:rsidR="00C86D82">
        <w:rPr>
          <w:rFonts w:ascii="Stone Sans II ITC Com Bk" w:hAnsi="Stone Sans II ITC Com Bk"/>
        </w:rPr>
        <w:t xml:space="preserve">anschließende Reinigung mittels der </w:t>
      </w:r>
      <w:r w:rsidR="00AE7527">
        <w:rPr>
          <w:rFonts w:ascii="Stone Sans II ITC Com Bk" w:hAnsi="Stone Sans II ITC Com Bk"/>
        </w:rPr>
        <w:t xml:space="preserve">DIBt zugelassenen </w:t>
      </w:r>
      <w:r w:rsidR="000E71CB">
        <w:rPr>
          <w:rFonts w:ascii="Stone Sans II ITC Com Bk" w:hAnsi="Stone Sans II ITC Com Bk"/>
        </w:rPr>
        <w:t>Regenwasserbehandlungsanlage ACO Stormclean</w:t>
      </w:r>
      <w:r w:rsidR="00AE7527">
        <w:rPr>
          <w:rFonts w:ascii="Stone Sans II ITC Com Bk" w:hAnsi="Stone Sans II ITC Com Bk"/>
        </w:rPr>
        <w:t xml:space="preserve"> sowie die Versickerung oder Rückhaltung mit der Rigole ACO Stormbrixx. </w:t>
      </w:r>
    </w:p>
    <w:p w14:paraId="07B05C17" w14:textId="77777777" w:rsidR="00830366" w:rsidRDefault="00830366" w:rsidP="00F05BFD">
      <w:pPr>
        <w:pStyle w:val="Default"/>
        <w:spacing w:line="360" w:lineRule="auto"/>
        <w:rPr>
          <w:rFonts w:ascii="Stone Sans II ITC Com Bk" w:hAnsi="Stone Sans II ITC Com Bk"/>
        </w:rPr>
      </w:pPr>
    </w:p>
    <w:p w14:paraId="1EA737AE" w14:textId="77777777" w:rsidR="00E873D6" w:rsidRDefault="00E873D6">
      <w:pPr>
        <w:rPr>
          <w:rFonts w:ascii="Stone Sans II ITC Com Bk" w:hAnsi="Stone Sans II ITC Com Bk" w:cs="Arial"/>
          <w:b/>
          <w:bCs/>
          <w:color w:val="000000"/>
          <w:sz w:val="24"/>
          <w:szCs w:val="24"/>
        </w:rPr>
      </w:pPr>
      <w:r>
        <w:rPr>
          <w:rFonts w:ascii="Stone Sans II ITC Com Bk" w:hAnsi="Stone Sans II ITC Com Bk"/>
          <w:b/>
          <w:bCs/>
        </w:rPr>
        <w:br w:type="page"/>
      </w:r>
    </w:p>
    <w:p w14:paraId="4697C33B" w14:textId="457B1A28" w:rsidR="00830366" w:rsidRPr="002F7027" w:rsidRDefault="00830366" w:rsidP="00F05BFD">
      <w:pPr>
        <w:pStyle w:val="Default"/>
        <w:spacing w:line="360" w:lineRule="auto"/>
        <w:rPr>
          <w:rFonts w:ascii="Stone Sans II ITC Com Bk" w:hAnsi="Stone Sans II ITC Com Bk"/>
          <w:b/>
          <w:bCs/>
        </w:rPr>
      </w:pPr>
      <w:r w:rsidRPr="002F7027">
        <w:rPr>
          <w:rFonts w:ascii="Stone Sans II ITC Com Bk" w:hAnsi="Stone Sans II ITC Com Bk"/>
          <w:b/>
          <w:bCs/>
        </w:rPr>
        <w:lastRenderedPageBreak/>
        <w:t xml:space="preserve">Industrial </w:t>
      </w:r>
      <w:r w:rsidR="002F7027" w:rsidRPr="002F7027">
        <w:rPr>
          <w:rFonts w:ascii="Stone Sans II ITC Com Bk" w:hAnsi="Stone Sans II ITC Com Bk"/>
          <w:b/>
          <w:bCs/>
        </w:rPr>
        <w:t>–</w:t>
      </w:r>
      <w:r w:rsidRPr="002F7027">
        <w:rPr>
          <w:rFonts w:ascii="Stone Sans II ITC Com Bk" w:hAnsi="Stone Sans II ITC Com Bk"/>
          <w:b/>
          <w:bCs/>
        </w:rPr>
        <w:t xml:space="preserve"> </w:t>
      </w:r>
      <w:r w:rsidR="002F7027" w:rsidRPr="002F7027">
        <w:rPr>
          <w:rFonts w:ascii="Stone Sans II ITC Com Bk" w:hAnsi="Stone Sans II ITC Com Bk"/>
          <w:b/>
          <w:bCs/>
        </w:rPr>
        <w:t>Entwässerung unter neuesten Bedingungen</w:t>
      </w:r>
    </w:p>
    <w:p w14:paraId="07DDAAE1" w14:textId="78DD12B2" w:rsidR="002F7027" w:rsidRDefault="00512BD8" w:rsidP="00F05BFD">
      <w:pPr>
        <w:pStyle w:val="Default"/>
        <w:spacing w:line="360" w:lineRule="auto"/>
        <w:rPr>
          <w:rFonts w:ascii="Stone Sans II ITC Com Bk" w:hAnsi="Stone Sans II ITC Com Bk"/>
        </w:rPr>
      </w:pPr>
      <w:r>
        <w:rPr>
          <w:rFonts w:ascii="Stone Sans II ITC Com Bk" w:hAnsi="Stone Sans II ITC Com Bk"/>
        </w:rPr>
        <w:t xml:space="preserve">Ein ganz neues Mitglied in der ACO-Produktfamilie ist das </w:t>
      </w:r>
      <w:r w:rsidR="00B36EB1">
        <w:rPr>
          <w:rFonts w:ascii="Stone Sans II ITC Com Bk" w:hAnsi="Stone Sans II ITC Com Bk"/>
        </w:rPr>
        <w:t xml:space="preserve">Entwässerungssystem ACO Pfuhler Z. </w:t>
      </w:r>
      <w:r w:rsidR="00A947C5">
        <w:rPr>
          <w:rFonts w:ascii="Stone Sans II ITC Com Bk" w:hAnsi="Stone Sans II ITC Com Bk"/>
        </w:rPr>
        <w:t xml:space="preserve">Die monolithische Stahlbetonrinne wurde </w:t>
      </w:r>
      <w:r w:rsidR="00A947C5" w:rsidRPr="00A947C5">
        <w:rPr>
          <w:rFonts w:ascii="Stone Sans II ITC Com Bk" w:hAnsi="Stone Sans II ITC Com Bk"/>
        </w:rPr>
        <w:t>speziell für den Einsatz in Anlagen entwickelt, die wassergefährdende Stoffe lagern, abfüllen und umschlagen, wie beispielsweise LAU-Anlagen und Tankstellen</w:t>
      </w:r>
      <w:r w:rsidR="00094875">
        <w:rPr>
          <w:rFonts w:ascii="Stone Sans II ITC Com Bk" w:hAnsi="Stone Sans II ITC Com Bk"/>
        </w:rPr>
        <w:t>.</w:t>
      </w:r>
      <w:r w:rsidR="007A00B8">
        <w:rPr>
          <w:rFonts w:ascii="Stone Sans II ITC Com Bk" w:hAnsi="Stone Sans II ITC Com Bk"/>
        </w:rPr>
        <w:t xml:space="preserve"> </w:t>
      </w:r>
      <w:r w:rsidR="00094875">
        <w:rPr>
          <w:rFonts w:ascii="Stone Sans II ITC Com Bk" w:hAnsi="Stone Sans II ITC Com Bk"/>
        </w:rPr>
        <w:t>D</w:t>
      </w:r>
      <w:r w:rsidR="007A00B8">
        <w:rPr>
          <w:rFonts w:ascii="Stone Sans II ITC Com Bk" w:hAnsi="Stone Sans II ITC Com Bk"/>
        </w:rPr>
        <w:t xml:space="preserve">ie Pfuhler Z </w:t>
      </w:r>
      <w:r w:rsidR="00094875">
        <w:rPr>
          <w:rFonts w:ascii="Stone Sans II ITC Com Bk" w:hAnsi="Stone Sans II ITC Com Bk"/>
        </w:rPr>
        <w:t>besitzt die</w:t>
      </w:r>
      <w:r w:rsidR="007A00B8">
        <w:rPr>
          <w:rFonts w:ascii="Stone Sans II ITC Com Bk" w:hAnsi="Stone Sans II ITC Com Bk"/>
        </w:rPr>
        <w:t xml:space="preserve"> </w:t>
      </w:r>
      <w:r w:rsidR="00A947C5" w:rsidRPr="00A947C5">
        <w:rPr>
          <w:rFonts w:ascii="Stone Sans II ITC Com Bk" w:hAnsi="Stone Sans II ITC Com Bk"/>
        </w:rPr>
        <w:t>allgemeine bauaufsichtliche Zulassung Nr. Z-74.4-46</w:t>
      </w:r>
      <w:r w:rsidR="00094875">
        <w:rPr>
          <w:rFonts w:ascii="Stone Sans II ITC Com Bk" w:hAnsi="Stone Sans II ITC Com Bk"/>
        </w:rPr>
        <w:t>.</w:t>
      </w:r>
    </w:p>
    <w:p w14:paraId="738D174D" w14:textId="77777777" w:rsidR="00A947C5" w:rsidRDefault="00A947C5" w:rsidP="00F05BFD">
      <w:pPr>
        <w:pStyle w:val="Default"/>
        <w:spacing w:line="360" w:lineRule="auto"/>
        <w:rPr>
          <w:rFonts w:ascii="Stone Sans II ITC Com Bk" w:hAnsi="Stone Sans II ITC Com Bk"/>
        </w:rPr>
      </w:pPr>
    </w:p>
    <w:p w14:paraId="7085F152" w14:textId="6B686E40" w:rsidR="00A5514E" w:rsidRDefault="006E133C" w:rsidP="00F05BFD">
      <w:pPr>
        <w:pStyle w:val="Default"/>
        <w:spacing w:line="360" w:lineRule="auto"/>
        <w:rPr>
          <w:rFonts w:ascii="Stone Sans II ITC Com Bk" w:hAnsi="Stone Sans II ITC Com Bk"/>
        </w:rPr>
      </w:pPr>
      <w:r w:rsidRPr="006E133C">
        <w:rPr>
          <w:rFonts w:ascii="Stone Sans II ITC Com Bk" w:hAnsi="Stone Sans II ITC Com Bk"/>
        </w:rPr>
        <w:t>Besuch</w:t>
      </w:r>
      <w:r w:rsidR="00A843C6">
        <w:rPr>
          <w:rFonts w:ascii="Stone Sans II ITC Com Bk" w:hAnsi="Stone Sans II ITC Com Bk"/>
        </w:rPr>
        <w:t>erinnen und Besuch</w:t>
      </w:r>
      <w:r w:rsidRPr="006E133C">
        <w:rPr>
          <w:rFonts w:ascii="Stone Sans II ITC Com Bk" w:hAnsi="Stone Sans II ITC Com Bk"/>
        </w:rPr>
        <w:t>er der IFAT 2024 sind</w:t>
      </w:r>
      <w:r w:rsidR="00270DB6">
        <w:rPr>
          <w:rFonts w:ascii="Stone Sans II ITC Com Bk" w:hAnsi="Stone Sans II ITC Com Bk"/>
        </w:rPr>
        <w:t xml:space="preserve"> vom 13. – 17.05.2024</w:t>
      </w:r>
      <w:r w:rsidRPr="006E133C">
        <w:rPr>
          <w:rFonts w:ascii="Stone Sans II ITC Com Bk" w:hAnsi="Stone Sans II ITC Com Bk"/>
        </w:rPr>
        <w:t xml:space="preserve"> herzlich eingeladen,</w:t>
      </w:r>
      <w:r w:rsidR="005E122A">
        <w:rPr>
          <w:rFonts w:ascii="Stone Sans II ITC Com Bk" w:hAnsi="Stone Sans II ITC Com Bk"/>
        </w:rPr>
        <w:t xml:space="preserve"> in Halle B3</w:t>
      </w:r>
      <w:r w:rsidR="00B60FA4">
        <w:rPr>
          <w:rFonts w:ascii="Stone Sans II ITC Com Bk" w:hAnsi="Stone Sans II ITC Com Bk"/>
        </w:rPr>
        <w:t xml:space="preserve"> den Stand 239/338 </w:t>
      </w:r>
      <w:r w:rsidRPr="006E133C">
        <w:rPr>
          <w:rFonts w:ascii="Stone Sans II ITC Com Bk" w:hAnsi="Stone Sans II ITC Com Bk"/>
        </w:rPr>
        <w:t>von ACO GmbH zu besuchen</w:t>
      </w:r>
      <w:r w:rsidR="00212273">
        <w:rPr>
          <w:rFonts w:ascii="Stone Sans II ITC Com Bk" w:hAnsi="Stone Sans II ITC Com Bk"/>
        </w:rPr>
        <w:t xml:space="preserve"> und sich </w:t>
      </w:r>
      <w:r w:rsidR="002F109B">
        <w:rPr>
          <w:rFonts w:ascii="Stone Sans II ITC Com Bk" w:hAnsi="Stone Sans II ITC Com Bk"/>
        </w:rPr>
        <w:t>über</w:t>
      </w:r>
      <w:r w:rsidR="00212273">
        <w:rPr>
          <w:rFonts w:ascii="Stone Sans II ITC Com Bk" w:hAnsi="Stone Sans II ITC Com Bk"/>
        </w:rPr>
        <w:t xml:space="preserve"> das umfangreiche Produktsortiment</w:t>
      </w:r>
      <w:r w:rsidR="002F109B">
        <w:rPr>
          <w:rFonts w:ascii="Stone Sans II ITC Com Bk" w:hAnsi="Stone Sans II ITC Com Bk"/>
        </w:rPr>
        <w:t xml:space="preserve"> </w:t>
      </w:r>
      <w:r w:rsidR="00410530">
        <w:rPr>
          <w:rFonts w:ascii="Stone Sans II ITC Com Bk" w:hAnsi="Stone Sans II ITC Com Bk"/>
        </w:rPr>
        <w:t xml:space="preserve">und </w:t>
      </w:r>
      <w:r w:rsidR="002F109B">
        <w:rPr>
          <w:rFonts w:ascii="Stone Sans II ITC Com Bk" w:hAnsi="Stone Sans II ITC Com Bk"/>
        </w:rPr>
        <w:t xml:space="preserve">den </w:t>
      </w:r>
      <w:r w:rsidR="009B658A">
        <w:rPr>
          <w:rFonts w:ascii="Stone Sans II ITC Com Bk" w:hAnsi="Stone Sans II ITC Com Bk"/>
        </w:rPr>
        <w:t>klimaresilienten</w:t>
      </w:r>
      <w:r w:rsidR="009B658A" w:rsidRPr="006E133C">
        <w:rPr>
          <w:rFonts w:ascii="Stone Sans II ITC Com Bk" w:hAnsi="Stone Sans II ITC Com Bk"/>
        </w:rPr>
        <w:t xml:space="preserve"> </w:t>
      </w:r>
      <w:r w:rsidR="009B658A">
        <w:rPr>
          <w:rFonts w:ascii="Stone Sans II ITC Com Bk" w:hAnsi="Stone Sans II ITC Com Bk"/>
        </w:rPr>
        <w:t>L</w:t>
      </w:r>
      <w:r w:rsidR="009B658A" w:rsidRPr="006E133C">
        <w:rPr>
          <w:rFonts w:ascii="Stone Sans II ITC Com Bk" w:hAnsi="Stone Sans II ITC Com Bk"/>
        </w:rPr>
        <w:t xml:space="preserve">ösungen </w:t>
      </w:r>
      <w:r w:rsidR="002F109B">
        <w:rPr>
          <w:rFonts w:ascii="Stone Sans II ITC Com Bk" w:hAnsi="Stone Sans II ITC Com Bk"/>
        </w:rPr>
        <w:t xml:space="preserve">zu </w:t>
      </w:r>
      <w:r w:rsidR="0007003C">
        <w:rPr>
          <w:rFonts w:ascii="Stone Sans II ITC Com Bk" w:hAnsi="Stone Sans II ITC Com Bk"/>
        </w:rPr>
        <w:t>informieren</w:t>
      </w:r>
      <w:r w:rsidR="002F109B">
        <w:rPr>
          <w:rFonts w:ascii="Stone Sans II ITC Com Bk" w:hAnsi="Stone Sans II ITC Com Bk"/>
        </w:rPr>
        <w:t xml:space="preserve">. </w:t>
      </w:r>
    </w:p>
    <w:p w14:paraId="0C3FD0BC" w14:textId="77777777" w:rsidR="003C2212" w:rsidRDefault="003C2212" w:rsidP="00F05BFD">
      <w:pPr>
        <w:pStyle w:val="Default"/>
        <w:spacing w:line="360" w:lineRule="auto"/>
        <w:rPr>
          <w:rFonts w:ascii="Stone Sans II ITC Com Bk" w:hAnsi="Stone Sans II ITC Com Bk"/>
        </w:rPr>
      </w:pPr>
    </w:p>
    <w:p w14:paraId="73E1DAF2" w14:textId="4C1F03B3" w:rsidR="003C2212" w:rsidRDefault="003C2212" w:rsidP="00F05BFD">
      <w:pPr>
        <w:pStyle w:val="Default"/>
        <w:spacing w:line="360" w:lineRule="auto"/>
        <w:rPr>
          <w:rFonts w:ascii="Stone Sans II ITC Com Bk" w:hAnsi="Stone Sans II ITC Com Bk"/>
        </w:rPr>
      </w:pPr>
      <w:r>
        <w:rPr>
          <w:rFonts w:ascii="Stone Sans II ITC Com Bk" w:hAnsi="Stone Sans II ITC Com Bk"/>
        </w:rPr>
        <w:t xml:space="preserve">Weitere Informationen: </w:t>
      </w:r>
      <w:hyperlink r:id="rId12" w:history="1">
        <w:r w:rsidR="0068082B" w:rsidRPr="00434BBB">
          <w:rPr>
            <w:rStyle w:val="Hyperlink"/>
            <w:rFonts w:ascii="Stone Sans II ITC Com Bk" w:hAnsi="Stone Sans II ITC Com Bk"/>
          </w:rPr>
          <w:t>www.aco.de/ifat</w:t>
        </w:r>
      </w:hyperlink>
      <w:r w:rsidR="0068082B">
        <w:rPr>
          <w:rFonts w:ascii="Stone Sans II ITC Com Bk" w:hAnsi="Stone Sans II ITC Com Bk"/>
        </w:rPr>
        <w:t xml:space="preserve"> </w:t>
      </w:r>
    </w:p>
    <w:p w14:paraId="31D3A853" w14:textId="77777777" w:rsidR="006B7A0D" w:rsidRDefault="006B7A0D" w:rsidP="00F05BFD">
      <w:pPr>
        <w:pStyle w:val="Default"/>
        <w:spacing w:line="360" w:lineRule="auto"/>
        <w:rPr>
          <w:rFonts w:ascii="Stone Sans II ITC Com Bk" w:hAnsi="Stone Sans II ITC Com Bk"/>
        </w:rPr>
      </w:pPr>
    </w:p>
    <w:p w14:paraId="782EFDC2" w14:textId="77596CE5" w:rsidR="006B7A0D" w:rsidRPr="00D31133" w:rsidRDefault="006B7A0D" w:rsidP="006B7A0D">
      <w:pPr>
        <w:spacing w:after="0"/>
        <w:textAlignment w:val="baseline"/>
        <w:rPr>
          <w:rFonts w:ascii="Stone Sans II ITC Com Bk" w:hAnsi="Stone Sans II ITC Com Bk" w:cs="Arial"/>
          <w:color w:val="000000"/>
          <w:sz w:val="24"/>
          <w:szCs w:val="24"/>
        </w:rPr>
      </w:pPr>
      <w:r w:rsidRPr="00D31133">
        <w:rPr>
          <w:rFonts w:ascii="Stone Sans II ITC Com Bk" w:hAnsi="Stone Sans II ITC Com Bk" w:cs="Arial"/>
          <w:color w:val="000000"/>
          <w:sz w:val="24"/>
          <w:szCs w:val="24"/>
        </w:rPr>
        <w:t>Ca. 3.4</w:t>
      </w:r>
      <w:r w:rsidR="00757274">
        <w:rPr>
          <w:rFonts w:ascii="Stone Sans II ITC Com Bk" w:hAnsi="Stone Sans II ITC Com Bk" w:cs="Arial"/>
          <w:color w:val="000000"/>
          <w:sz w:val="24"/>
          <w:szCs w:val="24"/>
        </w:rPr>
        <w:t>63</w:t>
      </w:r>
      <w:r w:rsidRPr="00D31133">
        <w:rPr>
          <w:rFonts w:ascii="Stone Sans II ITC Com Bk" w:hAnsi="Stone Sans II ITC Com Bk" w:cs="Arial"/>
          <w:color w:val="000000"/>
          <w:sz w:val="24"/>
          <w:szCs w:val="24"/>
        </w:rPr>
        <w:t xml:space="preserve"> Zeichen</w:t>
      </w:r>
    </w:p>
    <w:p w14:paraId="7078F893" w14:textId="29A40D35" w:rsidR="00451162" w:rsidRDefault="00970FE3" w:rsidP="00F05BFD">
      <w:pPr>
        <w:pStyle w:val="Default"/>
        <w:spacing w:line="360" w:lineRule="auto"/>
        <w:rPr>
          <w:rFonts w:ascii="Stone Sans II ITC Com Bk" w:hAnsi="Stone Sans II ITC Com Bk"/>
        </w:rPr>
      </w:pPr>
      <w:r>
        <w:rPr>
          <w:rFonts w:ascii="Stone Sans II ITC Com Lt" w:hAnsi="Stone Sans II ITC Com Lt"/>
          <w:iCs/>
          <w:noProof/>
          <w:sz w:val="20"/>
          <w:szCs w:val="20"/>
        </w:rPr>
        <mc:AlternateContent>
          <mc:Choice Requires="wps">
            <w:drawing>
              <wp:anchor distT="0" distB="0" distL="114300" distR="114300" simplePos="0" relativeHeight="251659264" behindDoc="0" locked="0" layoutInCell="1" allowOverlap="1" wp14:anchorId="41B1D0AC" wp14:editId="6D3F2EA2">
                <wp:simplePos x="0" y="0"/>
                <wp:positionH relativeFrom="page">
                  <wp:posOffset>831273</wp:posOffset>
                </wp:positionH>
                <wp:positionV relativeFrom="paragraph">
                  <wp:posOffset>338051</wp:posOffset>
                </wp:positionV>
                <wp:extent cx="5888990" cy="2351314"/>
                <wp:effectExtent l="0" t="0" r="16510" b="11430"/>
                <wp:wrapNone/>
                <wp:docPr id="16" name="Textfeld 16"/>
                <wp:cNvGraphicFramePr/>
                <a:graphic xmlns:a="http://schemas.openxmlformats.org/drawingml/2006/main">
                  <a:graphicData uri="http://schemas.microsoft.com/office/word/2010/wordprocessingShape">
                    <wps:wsp>
                      <wps:cNvSpPr txBox="1"/>
                      <wps:spPr>
                        <a:xfrm>
                          <a:off x="0" y="0"/>
                          <a:ext cx="5888990" cy="2351314"/>
                        </a:xfrm>
                        <a:prstGeom prst="rect">
                          <a:avLst/>
                        </a:prstGeom>
                        <a:solidFill>
                          <a:schemeClr val="lt1"/>
                        </a:solidFill>
                        <a:ln w="6350">
                          <a:solidFill>
                            <a:srgbClr val="0070C0"/>
                          </a:solidFill>
                        </a:ln>
                      </wps:spPr>
                      <wps:txbx>
                        <w:txbxContent>
                          <w:p w14:paraId="7A6605BF" w14:textId="50A9FEF0" w:rsidR="00DE4604" w:rsidRPr="00BD54FA" w:rsidRDefault="00DE4604" w:rsidP="00DE4604">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00472784" w:rsidRPr="00472784">
                              <w:rPr>
                                <w:rFonts w:ascii="Stone Sans II ITC Com Lt" w:hAnsi="Stone Sans II ITC Com Lt"/>
                                <w:iCs/>
                                <w:sz w:val="20"/>
                                <w:szCs w:val="20"/>
                              </w:rPr>
                              <w:t>Als Teil der weltweiten ACO Gruppe gehört die ACO GmbH zu den führenden Anbietern ganzheitlicher Systemlösungen rund um die klimaresiliente Freiraum-, Infrastruktur- und Gebäudeplanung. Das Unternehmen ist im Jahr 2023 durch den Zusammenschluss der ACO-Geschäftsbereiche Tiefbau und Hochbau entstanden und baut auf vertrauensvolle Partnerschaften mit dem Handel, Architekten und Planern sowie dem Handwerk. Der nachhaltige Umgang mit der wertvollen Ressource Wasser, verdeutlicht durch den Claim „ACO. we care for water“, steht im Mittelpunkt aller Unternehmensaktivitäten. Mit dem ACO WaterCycle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1D0AC" id="_x0000_t202" coordsize="21600,21600" o:spt="202" path="m,l,21600r21600,l21600,xe">
                <v:stroke joinstyle="miter"/>
                <v:path gradientshapeok="t" o:connecttype="rect"/>
              </v:shapetype>
              <v:shape id="Textfeld 16" o:spid="_x0000_s1026" type="#_x0000_t202" style="position:absolute;margin-left:65.45pt;margin-top:26.6pt;width:463.7pt;height:185.1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" fillcolor="white [3201]" strokecolor="#0070c0" strokeweight=".5pt">
                <v:textbox>
                  <w:txbxContent>
                    <w:p w14:paraId="7A6605BF" w14:textId="50A9FEF0" w:rsidR="00DE4604" w:rsidRPr="00BD54FA" w:rsidRDefault="00DE4604" w:rsidP="00DE4604">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00472784" w:rsidRPr="00472784">
                        <w:rPr>
                          <w:rFonts w:ascii="Stone Sans II ITC Com Lt" w:hAnsi="Stone Sans II ITC Com Lt"/>
                          <w:iCs/>
                          <w:sz w:val="20"/>
                          <w:szCs w:val="20"/>
                        </w:rPr>
                        <w:t>Als Teil der weltweiten ACO Gruppe gehört die ACO GmbH zu den führenden Anbietern ganzheitlicher Systemlösungen rund um die klimaresiliente Freiraum-, Infrastruktur- und Gebäudeplanung. Das Unternehmen ist im Jahr 2023 durch den Zusammenschluss der ACO-Geschäftsbereiche Tiefbau und Hochbau entstanden und baut auf vertrauensvolle Partnerschaften mit dem Handel, Architekten und Planern sowie dem Handwerk. Der nachhaltige Umgang mit der wertvollen Ressource Wasser, verdeutlicht durch den Claim „ACO. we care for water“, steht im Mittelpunkt aller Unternehmensaktivitäten. Mit dem ACO WaterCycle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txbxContent>
                </v:textbox>
                <w10:wrap anchorx="page"/>
              </v:shape>
            </w:pict>
          </mc:Fallback>
        </mc:AlternateContent>
      </w:r>
    </w:p>
    <w:p w14:paraId="4BA4C0FA" w14:textId="16B8DD77" w:rsidR="00451162" w:rsidRDefault="00451162" w:rsidP="00F05BFD">
      <w:pPr>
        <w:pStyle w:val="Default"/>
        <w:spacing w:line="360" w:lineRule="auto"/>
        <w:rPr>
          <w:rFonts w:ascii="Stone Sans II ITC Com Bk" w:hAnsi="Stone Sans II ITC Com Bk"/>
        </w:rPr>
      </w:pPr>
    </w:p>
    <w:p w14:paraId="38514D1F" w14:textId="012BC2A4" w:rsidR="00451162" w:rsidRDefault="00451162" w:rsidP="00F05BFD">
      <w:pPr>
        <w:pStyle w:val="Default"/>
        <w:spacing w:line="360" w:lineRule="auto"/>
        <w:rPr>
          <w:rFonts w:ascii="Stone Sans II ITC Com Bk" w:hAnsi="Stone Sans II ITC Com Bk"/>
        </w:rPr>
      </w:pPr>
    </w:p>
    <w:p w14:paraId="39C65130" w14:textId="33178DB4" w:rsidR="00451162" w:rsidRPr="006E133C" w:rsidRDefault="00451162" w:rsidP="00F05BFD">
      <w:pPr>
        <w:pStyle w:val="Default"/>
        <w:spacing w:line="360" w:lineRule="auto"/>
        <w:rPr>
          <w:rFonts w:ascii="Stone Sans II ITC Com Bk" w:hAnsi="Stone Sans II ITC Com Bk"/>
        </w:rPr>
      </w:pPr>
    </w:p>
    <w:p w14:paraId="17B5CF08" w14:textId="572D4D12" w:rsidR="00AD5F9C" w:rsidRDefault="00AD5F9C" w:rsidP="00F05BFD">
      <w:pPr>
        <w:pStyle w:val="Default"/>
        <w:spacing w:line="360" w:lineRule="auto"/>
        <w:rPr>
          <w:rFonts w:ascii="Stone Sans II ITC Com Lt" w:hAnsi="Stone Sans II ITC Com Lt"/>
          <w:iCs/>
          <w:sz w:val="20"/>
          <w:szCs w:val="20"/>
        </w:rPr>
      </w:pPr>
    </w:p>
    <w:p w14:paraId="78A83055" w14:textId="7676FEFE" w:rsidR="00D975E2" w:rsidRPr="000B433D" w:rsidRDefault="00D975E2" w:rsidP="003B4C8D">
      <w:pPr>
        <w:pStyle w:val="Default"/>
        <w:spacing w:line="360" w:lineRule="auto"/>
        <w:rPr>
          <w:rFonts w:ascii="Stone Sans II ITC Com Lt" w:eastAsia="Times New Roman" w:hAnsi="Stone Sans II ITC Com Lt"/>
          <w:sz w:val="20"/>
          <w:lang w:eastAsia="de-DE"/>
        </w:rPr>
      </w:pPr>
    </w:p>
    <w:p w14:paraId="25EAC591" w14:textId="7D8C53DC" w:rsidR="00902C82" w:rsidRDefault="00902C82" w:rsidP="00D975E2">
      <w:pPr>
        <w:spacing w:after="0"/>
        <w:textAlignment w:val="baseline"/>
        <w:rPr>
          <w:rFonts w:ascii="Stone Sans II ITC Com Lt" w:eastAsia="Times New Roman" w:hAnsi="Stone Sans II ITC Com Lt" w:cs="Arial"/>
          <w:sz w:val="20"/>
          <w:szCs w:val="24"/>
          <w:lang w:eastAsia="de-DE"/>
        </w:rPr>
      </w:pPr>
    </w:p>
    <w:p w14:paraId="5980F25C" w14:textId="21D2F910"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6FE6891C" w14:textId="3796C75D"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4DDCC82D" w14:textId="77777777" w:rsidR="001752CD" w:rsidRDefault="001752CD" w:rsidP="00D975E2">
      <w:pPr>
        <w:spacing w:after="0"/>
        <w:textAlignment w:val="baseline"/>
        <w:rPr>
          <w:rFonts w:ascii="Stone Sans II ITC Com Lt" w:eastAsia="Times New Roman" w:hAnsi="Stone Sans II ITC Com Lt" w:cs="Arial"/>
          <w:sz w:val="20"/>
          <w:szCs w:val="24"/>
          <w:lang w:eastAsia="de-DE"/>
        </w:rPr>
      </w:pPr>
    </w:p>
    <w:p w14:paraId="32421471" w14:textId="77777777" w:rsidR="001752CD" w:rsidRDefault="001752CD" w:rsidP="00D975E2">
      <w:pPr>
        <w:spacing w:after="0"/>
        <w:textAlignment w:val="baseline"/>
        <w:rPr>
          <w:rFonts w:ascii="Stone Sans II ITC Com Lt" w:eastAsia="Times New Roman" w:hAnsi="Stone Sans II ITC Com Lt" w:cs="Arial"/>
          <w:sz w:val="20"/>
          <w:szCs w:val="24"/>
          <w:lang w:eastAsia="de-DE"/>
        </w:rPr>
      </w:pPr>
    </w:p>
    <w:p w14:paraId="07CA015F" w14:textId="77777777" w:rsidR="001752CD" w:rsidRDefault="001752CD" w:rsidP="00D975E2">
      <w:pPr>
        <w:spacing w:after="0"/>
        <w:textAlignment w:val="baseline"/>
        <w:rPr>
          <w:rFonts w:ascii="Stone Sans II ITC Com Lt" w:eastAsia="Times New Roman" w:hAnsi="Stone Sans II ITC Com Lt" w:cs="Arial"/>
          <w:sz w:val="20"/>
          <w:szCs w:val="24"/>
          <w:lang w:eastAsia="de-DE"/>
        </w:rPr>
      </w:pPr>
    </w:p>
    <w:p w14:paraId="6C6CC104" w14:textId="289729B8"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18B82376" w14:textId="77777777" w:rsidR="00D429CC" w:rsidRDefault="00D429CC">
      <w:pPr>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br w:type="page"/>
      </w:r>
    </w:p>
    <w:p w14:paraId="6C47C281" w14:textId="1F5B9D8E" w:rsidR="00DA6BD9" w:rsidRPr="00D429CC" w:rsidRDefault="00DA6BD9" w:rsidP="00D975E2">
      <w:pPr>
        <w:spacing w:after="0"/>
        <w:textAlignment w:val="baseline"/>
        <w:rPr>
          <w:rFonts w:ascii="Stone Sans II ITC Com Bk" w:hAnsi="Stone Sans II ITC Com Bk" w:cs="Arial"/>
          <w:b/>
          <w:bCs/>
          <w:color w:val="000000"/>
          <w:sz w:val="24"/>
          <w:szCs w:val="24"/>
        </w:rPr>
      </w:pPr>
      <w:r w:rsidRPr="00D429CC">
        <w:rPr>
          <w:rFonts w:ascii="Stone Sans II ITC Com Bk" w:hAnsi="Stone Sans II ITC Com Bk" w:cs="Arial"/>
          <w:b/>
          <w:bCs/>
          <w:color w:val="000000"/>
          <w:sz w:val="24"/>
          <w:szCs w:val="24"/>
        </w:rPr>
        <w:lastRenderedPageBreak/>
        <w:t>Bildmaterial:</w:t>
      </w:r>
      <w:r w:rsidR="00451162" w:rsidRPr="00D429CC">
        <w:rPr>
          <w:rFonts w:ascii="Stone Sans II ITC Com Bk" w:hAnsi="Stone Sans II ITC Com Bk" w:cs="Arial"/>
          <w:b/>
          <w:bCs/>
          <w:color w:val="000000"/>
          <w:sz w:val="24"/>
          <w:szCs w:val="24"/>
        </w:rPr>
        <w:t xml:space="preserve"> Quelle ACO</w:t>
      </w:r>
    </w:p>
    <w:p w14:paraId="3B183A29" w14:textId="1DDFDF01" w:rsidR="00DA6BD9" w:rsidRDefault="00DA6BD9" w:rsidP="00D975E2">
      <w:pPr>
        <w:spacing w:after="0"/>
        <w:textAlignment w:val="baseline"/>
        <w:rPr>
          <w:rFonts w:ascii="Stone Sans II ITC Com Lt" w:eastAsia="Times New Roman" w:hAnsi="Stone Sans II ITC Com Lt" w:cs="Arial"/>
          <w:sz w:val="20"/>
          <w:szCs w:val="24"/>
          <w:lang w:eastAsia="de-DE"/>
        </w:rPr>
      </w:pPr>
    </w:p>
    <w:p w14:paraId="5440F62F" w14:textId="65D35329" w:rsidR="005068B0" w:rsidRDefault="005A7373" w:rsidP="00D975E2">
      <w:pPr>
        <w:spacing w:after="0"/>
        <w:textAlignment w:val="baseline"/>
        <w:rPr>
          <w:rFonts w:ascii="Stone Sans II ITC Com Lt" w:eastAsia="Times New Roman" w:hAnsi="Stone Sans II ITC Com Lt" w:cs="Arial"/>
          <w:sz w:val="20"/>
          <w:szCs w:val="24"/>
          <w:lang w:eastAsia="de-DE"/>
        </w:rPr>
      </w:pPr>
      <w:r>
        <w:rPr>
          <w:noProof/>
        </w:rPr>
        <w:drawing>
          <wp:inline distT="0" distB="0" distL="0" distR="0" wp14:anchorId="33DA7B82" wp14:editId="6E7EDD9F">
            <wp:extent cx="5224089" cy="2390140"/>
            <wp:effectExtent l="0" t="0" r="0" b="0"/>
            <wp:docPr id="15985011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774"/>
                    <a:stretch/>
                  </pic:blipFill>
                  <pic:spPr bwMode="auto">
                    <a:xfrm>
                      <a:off x="0" y="0"/>
                      <a:ext cx="5229774" cy="2392741"/>
                    </a:xfrm>
                    <a:prstGeom prst="rect">
                      <a:avLst/>
                    </a:prstGeom>
                    <a:noFill/>
                    <a:ln>
                      <a:noFill/>
                    </a:ln>
                    <a:extLst>
                      <a:ext uri="{53640926-AAD7-44D8-BBD7-CCE9431645EC}">
                        <a14:shadowObscured xmlns:a14="http://schemas.microsoft.com/office/drawing/2010/main"/>
                      </a:ext>
                    </a:extLst>
                  </pic:spPr>
                </pic:pic>
              </a:graphicData>
            </a:graphic>
          </wp:inline>
        </w:drawing>
      </w:r>
    </w:p>
    <w:p w14:paraId="0541B72B" w14:textId="1937350E" w:rsidR="00451162" w:rsidRDefault="00451162" w:rsidP="00451162">
      <w:pPr>
        <w:pStyle w:val="Default"/>
        <w:spacing w:line="360" w:lineRule="auto"/>
        <w:rPr>
          <w:rFonts w:ascii="Stone Sans II ITC Com Bk" w:hAnsi="Stone Sans II ITC Com Bk"/>
        </w:rPr>
      </w:pPr>
      <w:r>
        <w:rPr>
          <w:rFonts w:ascii="Stone Sans II ITC Com Bk" w:hAnsi="Stone Sans II ITC Com Bk"/>
        </w:rPr>
        <w:t>BU: ACO auf der IFAT 2024 in München</w:t>
      </w:r>
    </w:p>
    <w:p w14:paraId="7ADF7DF6" w14:textId="77777777" w:rsidR="00A10FAC" w:rsidRDefault="00A10FAC" w:rsidP="00451162">
      <w:pPr>
        <w:pStyle w:val="Default"/>
        <w:spacing w:line="360" w:lineRule="auto"/>
        <w:rPr>
          <w:rFonts w:ascii="Stone Sans II ITC Com Bk" w:hAnsi="Stone Sans II ITC Com Bk"/>
        </w:rPr>
      </w:pPr>
    </w:p>
    <w:p w14:paraId="1DDEABA7" w14:textId="607EFBAC" w:rsidR="00A10FAC" w:rsidRDefault="008501C4" w:rsidP="00451162">
      <w:pPr>
        <w:pStyle w:val="Default"/>
        <w:spacing w:line="360" w:lineRule="auto"/>
        <w:rPr>
          <w:rFonts w:ascii="Stone Sans II ITC Com Bk" w:hAnsi="Stone Sans II ITC Com Bk"/>
        </w:rPr>
      </w:pPr>
      <w:r w:rsidRPr="008501C4">
        <w:rPr>
          <w:rFonts w:ascii="Stone Sans II ITC Com Bk" w:hAnsi="Stone Sans II ITC Com Bk"/>
          <w:noProof/>
        </w:rPr>
        <w:drawing>
          <wp:inline distT="0" distB="0" distL="0" distR="0" wp14:anchorId="0289EFEC" wp14:editId="33367729">
            <wp:extent cx="2915920" cy="2066841"/>
            <wp:effectExtent l="0" t="0" r="0" b="0"/>
            <wp:docPr id="1068085268" name="Grafik 1" descr="Ein Bild, da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85268" name="Grafik 1" descr="Ein Bild, das Gerät enthält.&#10;&#10;Automatisch generierte Beschreibung"/>
                    <pic:cNvPicPr/>
                  </pic:nvPicPr>
                  <pic:blipFill rotWithShape="1">
                    <a:blip r:embed="rId14"/>
                    <a:srcRect l="653" t="-1383" r="-653" b="1383"/>
                    <a:stretch/>
                  </pic:blipFill>
                  <pic:spPr bwMode="auto">
                    <a:xfrm>
                      <a:off x="0" y="0"/>
                      <a:ext cx="2917613" cy="2068041"/>
                    </a:xfrm>
                    <a:prstGeom prst="rect">
                      <a:avLst/>
                    </a:prstGeom>
                    <a:ln>
                      <a:noFill/>
                    </a:ln>
                    <a:extLst>
                      <a:ext uri="{53640926-AAD7-44D8-BBD7-CCE9431645EC}">
                        <a14:shadowObscured xmlns:a14="http://schemas.microsoft.com/office/drawing/2010/main"/>
                      </a:ext>
                    </a:extLst>
                  </pic:spPr>
                </pic:pic>
              </a:graphicData>
            </a:graphic>
          </wp:inline>
        </w:drawing>
      </w:r>
    </w:p>
    <w:p w14:paraId="50AD27F0" w14:textId="7DEC88A0" w:rsidR="008501C4" w:rsidRDefault="008501C4" w:rsidP="00451162">
      <w:pPr>
        <w:pStyle w:val="Default"/>
        <w:spacing w:line="360" w:lineRule="auto"/>
        <w:rPr>
          <w:rFonts w:ascii="Stone Sans II ITC Com Bk" w:hAnsi="Stone Sans II ITC Com Bk"/>
        </w:rPr>
      </w:pPr>
      <w:r>
        <w:rPr>
          <w:rFonts w:ascii="Stone Sans II ITC Com Bk" w:hAnsi="Stone Sans II ITC Com Bk"/>
        </w:rPr>
        <w:t>BU: Der neue Brückenablauf Aqua Plus aus der Produktfamilie Multitop</w:t>
      </w:r>
    </w:p>
    <w:p w14:paraId="4D1E0247" w14:textId="77777777" w:rsidR="00B36D84" w:rsidRDefault="00B36D84" w:rsidP="00451162">
      <w:pPr>
        <w:pStyle w:val="Default"/>
        <w:spacing w:line="360" w:lineRule="auto"/>
        <w:rPr>
          <w:rFonts w:ascii="Stone Sans II ITC Com Bk" w:hAnsi="Stone Sans II ITC Com Bk"/>
        </w:rPr>
      </w:pPr>
    </w:p>
    <w:p w14:paraId="20A13AE6" w14:textId="42EA7AD3" w:rsidR="00B36D84" w:rsidRDefault="00B36D84" w:rsidP="00451162">
      <w:pPr>
        <w:pStyle w:val="Default"/>
        <w:spacing w:line="360" w:lineRule="auto"/>
        <w:rPr>
          <w:rFonts w:ascii="Stone Sans II ITC Com Bk" w:hAnsi="Stone Sans II ITC Com Bk"/>
        </w:rPr>
      </w:pPr>
      <w:r w:rsidRPr="00B36D84">
        <w:rPr>
          <w:rFonts w:ascii="Stone Sans II ITC Com Bk" w:hAnsi="Stone Sans II ITC Com Bk"/>
          <w:noProof/>
        </w:rPr>
        <w:drawing>
          <wp:inline distT="0" distB="0" distL="0" distR="0" wp14:anchorId="3876B8E2" wp14:editId="020318E4">
            <wp:extent cx="2790107" cy="2007870"/>
            <wp:effectExtent l="0" t="0" r="0" b="0"/>
            <wp:docPr id="767696083" name="Grafik 1" descr="Ein Bild, das Überspannungsableit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96083" name="Grafik 1" descr="Ein Bild, das Überspannungsableiter enthält.&#10;&#10;Automatisch generierte Beschreibung mit mittlerer Zuverlässigkeit"/>
                    <pic:cNvPicPr/>
                  </pic:nvPicPr>
                  <pic:blipFill rotWithShape="1">
                    <a:blip r:embed="rId15"/>
                    <a:srcRect l="2334"/>
                    <a:stretch/>
                  </pic:blipFill>
                  <pic:spPr bwMode="auto">
                    <a:xfrm>
                      <a:off x="0" y="0"/>
                      <a:ext cx="2793560" cy="2010355"/>
                    </a:xfrm>
                    <a:prstGeom prst="rect">
                      <a:avLst/>
                    </a:prstGeom>
                    <a:ln>
                      <a:noFill/>
                    </a:ln>
                    <a:extLst>
                      <a:ext uri="{53640926-AAD7-44D8-BBD7-CCE9431645EC}">
                        <a14:shadowObscured xmlns:a14="http://schemas.microsoft.com/office/drawing/2010/main"/>
                      </a:ext>
                    </a:extLst>
                  </pic:spPr>
                </pic:pic>
              </a:graphicData>
            </a:graphic>
          </wp:inline>
        </w:drawing>
      </w:r>
    </w:p>
    <w:p w14:paraId="1A27AA95" w14:textId="77777777" w:rsidR="00326BE0" w:rsidRDefault="00B36D84" w:rsidP="00326BE0">
      <w:pPr>
        <w:pStyle w:val="Default"/>
        <w:spacing w:line="360" w:lineRule="auto"/>
        <w:rPr>
          <w:rFonts w:ascii="Stone Sans II ITC Com Bk" w:hAnsi="Stone Sans II ITC Com Bk"/>
        </w:rPr>
      </w:pPr>
      <w:r>
        <w:rPr>
          <w:rFonts w:ascii="Stone Sans II ITC Com Bk" w:hAnsi="Stone Sans II ITC Com Bk"/>
        </w:rPr>
        <w:t xml:space="preserve">BU: Das Original: Die Hohlbordrinne ACO KerbDrain Bridge </w:t>
      </w:r>
      <w:r w:rsidR="00326BE0">
        <w:rPr>
          <w:rFonts w:ascii="Stone Sans II ITC Com Bk" w:hAnsi="Stone Sans II ITC Com Bk"/>
        </w:rPr>
        <w:t>bei der die Entwässerung aus der Fahrbahn kommt.</w:t>
      </w:r>
    </w:p>
    <w:p w14:paraId="6464FC2A" w14:textId="77777777" w:rsidR="00532D96" w:rsidRDefault="00532D96" w:rsidP="00326BE0">
      <w:pPr>
        <w:pStyle w:val="Default"/>
        <w:spacing w:line="360" w:lineRule="auto"/>
        <w:rPr>
          <w:rFonts w:ascii="Stone Sans II ITC Com Lt" w:eastAsia="Times New Roman" w:hAnsi="Stone Sans II ITC Com Lt"/>
          <w:sz w:val="20"/>
          <w:lang w:eastAsia="de-DE"/>
        </w:rPr>
      </w:pPr>
      <w:r w:rsidRPr="00532D96">
        <w:rPr>
          <w:rFonts w:ascii="Stone Sans II ITC Com Lt" w:eastAsia="Times New Roman" w:hAnsi="Stone Sans II ITC Com Lt"/>
          <w:noProof/>
          <w:sz w:val="20"/>
          <w:lang w:eastAsia="de-DE"/>
        </w:rPr>
        <w:lastRenderedPageBreak/>
        <w:drawing>
          <wp:inline distT="0" distB="0" distL="0" distR="0" wp14:anchorId="5EE4B241" wp14:editId="21068E44">
            <wp:extent cx="2846934" cy="2057400"/>
            <wp:effectExtent l="0" t="0" r="0" b="0"/>
            <wp:docPr id="1725543177" name="Grafik 1"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43177" name="Grafik 1" descr="Ein Bild, das Design enthält.&#10;&#10;Automatisch generierte Beschreibung mit geringer Zuverlässigkeit"/>
                    <pic:cNvPicPr/>
                  </pic:nvPicPr>
                  <pic:blipFill>
                    <a:blip r:embed="rId16"/>
                    <a:stretch>
                      <a:fillRect/>
                    </a:stretch>
                  </pic:blipFill>
                  <pic:spPr>
                    <a:xfrm>
                      <a:off x="0" y="0"/>
                      <a:ext cx="2849871" cy="2059523"/>
                    </a:xfrm>
                    <a:prstGeom prst="rect">
                      <a:avLst/>
                    </a:prstGeom>
                  </pic:spPr>
                </pic:pic>
              </a:graphicData>
            </a:graphic>
          </wp:inline>
        </w:drawing>
      </w:r>
    </w:p>
    <w:p w14:paraId="220E661E" w14:textId="77777777" w:rsidR="00101A5B" w:rsidRDefault="00532D96" w:rsidP="00326BE0">
      <w:pPr>
        <w:pStyle w:val="Default"/>
        <w:spacing w:line="360" w:lineRule="auto"/>
        <w:rPr>
          <w:rFonts w:ascii="Stone Sans II ITC Com Bk" w:hAnsi="Stone Sans II ITC Com Bk"/>
        </w:rPr>
      </w:pPr>
      <w:r w:rsidRPr="00101A5B">
        <w:rPr>
          <w:rFonts w:ascii="Stone Sans II ITC Com Bk" w:hAnsi="Stone Sans II ITC Com Bk"/>
        </w:rPr>
        <w:t xml:space="preserve">BU: ACO DRAIN® Multiline aus NEXITE®, </w:t>
      </w:r>
      <w:r w:rsidR="00101A5B" w:rsidRPr="00101A5B">
        <w:rPr>
          <w:rFonts w:ascii="Stone Sans II ITC Com Bk" w:hAnsi="Stone Sans II ITC Com Bk"/>
        </w:rPr>
        <w:t xml:space="preserve">die leichte Rinne aus </w:t>
      </w:r>
      <w:r w:rsidRPr="00101A5B">
        <w:rPr>
          <w:rFonts w:ascii="Stone Sans II ITC Com Bk" w:hAnsi="Stone Sans II ITC Com Bk"/>
        </w:rPr>
        <w:t xml:space="preserve">dem neuen </w:t>
      </w:r>
      <w:r w:rsidR="00101A5B" w:rsidRPr="00101A5B">
        <w:rPr>
          <w:rFonts w:ascii="Stone Sans II ITC Com Bk" w:hAnsi="Stone Sans II ITC Com Bk"/>
        </w:rPr>
        <w:t>Hochleistungsbeton.</w:t>
      </w:r>
    </w:p>
    <w:p w14:paraId="78DAD818" w14:textId="77777777" w:rsidR="00101A5B" w:rsidRDefault="00101A5B" w:rsidP="00326BE0">
      <w:pPr>
        <w:pStyle w:val="Default"/>
        <w:spacing w:line="360" w:lineRule="auto"/>
        <w:rPr>
          <w:rFonts w:ascii="Stone Sans II ITC Com Bk" w:hAnsi="Stone Sans II ITC Com Bk"/>
        </w:rPr>
      </w:pPr>
    </w:p>
    <w:p w14:paraId="6F1971F0" w14:textId="77777777" w:rsidR="009F4E43" w:rsidRDefault="009F4E43" w:rsidP="00326BE0">
      <w:pPr>
        <w:pStyle w:val="Default"/>
        <w:spacing w:line="360" w:lineRule="auto"/>
        <w:rPr>
          <w:rFonts w:ascii="Stone Sans II ITC Com Lt" w:eastAsia="Times New Roman" w:hAnsi="Stone Sans II ITC Com Lt"/>
          <w:sz w:val="20"/>
          <w:lang w:eastAsia="de-DE"/>
        </w:rPr>
      </w:pPr>
      <w:r w:rsidRPr="009F4E43">
        <w:rPr>
          <w:rFonts w:ascii="Stone Sans II ITC Com Bk" w:hAnsi="Stone Sans II ITC Com Bk"/>
          <w:noProof/>
        </w:rPr>
        <w:drawing>
          <wp:inline distT="0" distB="0" distL="0" distR="0" wp14:anchorId="3F3F1A79" wp14:editId="7A3D94D2">
            <wp:extent cx="2288540" cy="2962137"/>
            <wp:effectExtent l="0" t="0" r="0" b="0"/>
            <wp:docPr id="533354015" name="Grafik 1" descr="Ein Bild, das Kunst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4015" name="Grafik 1" descr="Ein Bild, das Kunst enthält.&#10;&#10;Automatisch generierte Beschreibung mit geringer Zuverlässigkeit"/>
                    <pic:cNvPicPr/>
                  </pic:nvPicPr>
                  <pic:blipFill>
                    <a:blip r:embed="rId17"/>
                    <a:stretch>
                      <a:fillRect/>
                    </a:stretch>
                  </pic:blipFill>
                  <pic:spPr>
                    <a:xfrm>
                      <a:off x="0" y="0"/>
                      <a:ext cx="2292853" cy="2967719"/>
                    </a:xfrm>
                    <a:prstGeom prst="rect">
                      <a:avLst/>
                    </a:prstGeom>
                  </pic:spPr>
                </pic:pic>
              </a:graphicData>
            </a:graphic>
          </wp:inline>
        </w:drawing>
      </w:r>
    </w:p>
    <w:p w14:paraId="411ABA57" w14:textId="77777777" w:rsidR="009F4E43" w:rsidRDefault="009F4E43" w:rsidP="00326BE0">
      <w:pPr>
        <w:pStyle w:val="Default"/>
        <w:spacing w:line="360" w:lineRule="auto"/>
        <w:rPr>
          <w:rFonts w:ascii="Stone Sans II ITC Com Lt" w:eastAsia="Times New Roman" w:hAnsi="Stone Sans II ITC Com Lt"/>
          <w:sz w:val="20"/>
          <w:lang w:eastAsia="de-DE"/>
        </w:rPr>
      </w:pPr>
      <w:r>
        <w:rPr>
          <w:rFonts w:ascii="Stone Sans II ITC Com Lt" w:eastAsia="Times New Roman" w:hAnsi="Stone Sans II ITC Com Lt"/>
          <w:sz w:val="20"/>
          <w:lang w:eastAsia="de-DE"/>
        </w:rPr>
        <w:t>BU: Die Regenwasserbehandlungsanlage mit DIBt-Zulassung als essenzieller Baustein in der Blau-Grünen Infrastruktur</w:t>
      </w:r>
    </w:p>
    <w:p w14:paraId="6B8DDC30" w14:textId="77777777" w:rsidR="009F4E43" w:rsidRDefault="009F4E43" w:rsidP="00326BE0">
      <w:pPr>
        <w:pStyle w:val="Default"/>
        <w:spacing w:line="360" w:lineRule="auto"/>
        <w:rPr>
          <w:rFonts w:ascii="Stone Sans II ITC Com Lt" w:eastAsia="Times New Roman" w:hAnsi="Stone Sans II ITC Com Lt"/>
          <w:sz w:val="20"/>
          <w:lang w:eastAsia="de-DE"/>
        </w:rPr>
      </w:pPr>
    </w:p>
    <w:p w14:paraId="0A838899" w14:textId="77777777" w:rsidR="00032CEF" w:rsidRDefault="00032CEF" w:rsidP="00326BE0">
      <w:pPr>
        <w:pStyle w:val="Default"/>
        <w:spacing w:line="360" w:lineRule="auto"/>
        <w:rPr>
          <w:rFonts w:ascii="Stone Sans II ITC Com Lt" w:eastAsia="Times New Roman" w:hAnsi="Stone Sans II ITC Com Lt"/>
          <w:sz w:val="20"/>
          <w:lang w:eastAsia="de-DE"/>
        </w:rPr>
      </w:pPr>
      <w:r w:rsidRPr="00032CEF">
        <w:rPr>
          <w:rFonts w:ascii="Stone Sans II ITC Com Bk" w:hAnsi="Stone Sans II ITC Com Bk"/>
          <w:noProof/>
        </w:rPr>
        <w:lastRenderedPageBreak/>
        <w:drawing>
          <wp:inline distT="0" distB="0" distL="0" distR="0" wp14:anchorId="274D51DD" wp14:editId="2AC7F86D">
            <wp:extent cx="3269615" cy="2332094"/>
            <wp:effectExtent l="0" t="0" r="6985" b="0"/>
            <wp:docPr id="19783983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8350" name=""/>
                    <pic:cNvPicPr/>
                  </pic:nvPicPr>
                  <pic:blipFill>
                    <a:blip r:embed="rId18"/>
                    <a:stretch>
                      <a:fillRect/>
                    </a:stretch>
                  </pic:blipFill>
                  <pic:spPr>
                    <a:xfrm>
                      <a:off x="0" y="0"/>
                      <a:ext cx="3272617" cy="2334235"/>
                    </a:xfrm>
                    <a:prstGeom prst="rect">
                      <a:avLst/>
                    </a:prstGeom>
                  </pic:spPr>
                </pic:pic>
              </a:graphicData>
            </a:graphic>
          </wp:inline>
        </w:drawing>
      </w:r>
    </w:p>
    <w:p w14:paraId="13B44BB9" w14:textId="77777777" w:rsidR="00032CEF" w:rsidRDefault="00032CEF" w:rsidP="00326BE0">
      <w:pPr>
        <w:pStyle w:val="Default"/>
        <w:spacing w:line="360" w:lineRule="auto"/>
        <w:rPr>
          <w:rFonts w:ascii="Stone Sans II ITC Com Lt" w:eastAsia="Times New Roman" w:hAnsi="Stone Sans II ITC Com Lt"/>
          <w:sz w:val="20"/>
          <w:lang w:eastAsia="de-DE"/>
        </w:rPr>
      </w:pPr>
    </w:p>
    <w:p w14:paraId="4337E49F" w14:textId="77777777" w:rsidR="006F7F58" w:rsidRDefault="00032CEF" w:rsidP="00326BE0">
      <w:pPr>
        <w:pStyle w:val="Default"/>
        <w:spacing w:line="360" w:lineRule="auto"/>
        <w:rPr>
          <w:rFonts w:ascii="Stone Sans II ITC Com Lt" w:eastAsia="Times New Roman" w:hAnsi="Stone Sans II ITC Com Lt"/>
          <w:sz w:val="20"/>
          <w:lang w:eastAsia="de-DE"/>
        </w:rPr>
      </w:pPr>
      <w:r w:rsidRPr="00032CEF">
        <w:rPr>
          <w:rFonts w:ascii="Stone Sans II ITC Com Lt" w:eastAsia="Times New Roman" w:hAnsi="Stone Sans II ITC Com Lt"/>
          <w:sz w:val="20"/>
          <w:lang w:eastAsia="de-DE"/>
        </w:rPr>
        <w:t>BU: Die Rigole ACO S</w:t>
      </w:r>
      <w:r>
        <w:rPr>
          <w:rFonts w:ascii="Stone Sans II ITC Com Lt" w:eastAsia="Times New Roman" w:hAnsi="Stone Sans II ITC Com Lt"/>
          <w:sz w:val="20"/>
          <w:lang w:eastAsia="de-DE"/>
        </w:rPr>
        <w:t xml:space="preserve">tormbrixx </w:t>
      </w:r>
      <w:r w:rsidR="006F7F58">
        <w:rPr>
          <w:rFonts w:ascii="Stone Sans II ITC Com Lt" w:eastAsia="Times New Roman" w:hAnsi="Stone Sans II ITC Com Lt"/>
          <w:sz w:val="20"/>
          <w:lang w:eastAsia="de-DE"/>
        </w:rPr>
        <w:t>zur Versickerung oder Rückhaltung von Oberflächenwasser</w:t>
      </w:r>
    </w:p>
    <w:p w14:paraId="10719613" w14:textId="77777777" w:rsidR="006F7F58" w:rsidRDefault="006F7F58" w:rsidP="00326BE0">
      <w:pPr>
        <w:pStyle w:val="Default"/>
        <w:spacing w:line="360" w:lineRule="auto"/>
        <w:rPr>
          <w:rFonts w:ascii="Stone Sans II ITC Com Lt" w:eastAsia="Times New Roman" w:hAnsi="Stone Sans II ITC Com Lt"/>
          <w:sz w:val="20"/>
          <w:lang w:eastAsia="de-DE"/>
        </w:rPr>
      </w:pPr>
    </w:p>
    <w:p w14:paraId="6C29B6E6" w14:textId="77777777" w:rsidR="00CD2BF5" w:rsidRDefault="00CD2BF5" w:rsidP="00326BE0">
      <w:pPr>
        <w:pStyle w:val="Default"/>
        <w:spacing w:line="360" w:lineRule="auto"/>
        <w:rPr>
          <w:rFonts w:ascii="Stone Sans II ITC Com Lt" w:eastAsia="Times New Roman" w:hAnsi="Stone Sans II ITC Com Lt"/>
          <w:sz w:val="20"/>
          <w:lang w:eastAsia="de-DE"/>
        </w:rPr>
      </w:pPr>
      <w:r w:rsidRPr="00CD2BF5">
        <w:rPr>
          <w:rFonts w:ascii="Stone Sans II ITC Com Bk" w:hAnsi="Stone Sans II ITC Com Bk"/>
          <w:noProof/>
        </w:rPr>
        <w:drawing>
          <wp:inline distT="0" distB="0" distL="0" distR="0" wp14:anchorId="5694D4EC" wp14:editId="4126E4B7">
            <wp:extent cx="3048000" cy="3064209"/>
            <wp:effectExtent l="0" t="0" r="0" b="3175"/>
            <wp:docPr id="1656381652" name="Grafik 1" descr="Ein Bild, das Design, Fernbedie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81652" name="Grafik 1" descr="Ein Bild, das Design, Fernbedienung enthält.&#10;&#10;Automatisch generierte Beschreibung"/>
                    <pic:cNvPicPr/>
                  </pic:nvPicPr>
                  <pic:blipFill>
                    <a:blip r:embed="rId19"/>
                    <a:stretch>
                      <a:fillRect/>
                    </a:stretch>
                  </pic:blipFill>
                  <pic:spPr>
                    <a:xfrm>
                      <a:off x="0" y="0"/>
                      <a:ext cx="3051807" cy="3068036"/>
                    </a:xfrm>
                    <a:prstGeom prst="rect">
                      <a:avLst/>
                    </a:prstGeom>
                  </pic:spPr>
                </pic:pic>
              </a:graphicData>
            </a:graphic>
          </wp:inline>
        </w:drawing>
      </w:r>
    </w:p>
    <w:p w14:paraId="0EF30B7D" w14:textId="1785D153" w:rsidR="00532D96" w:rsidRPr="00032CEF" w:rsidRDefault="00CD2BF5" w:rsidP="00326BE0">
      <w:pPr>
        <w:pStyle w:val="Default"/>
        <w:spacing w:line="360" w:lineRule="auto"/>
        <w:rPr>
          <w:rFonts w:ascii="Stone Sans II ITC Com Lt" w:eastAsia="Times New Roman" w:hAnsi="Stone Sans II ITC Com Lt"/>
          <w:sz w:val="20"/>
          <w:lang w:eastAsia="de-DE"/>
        </w:rPr>
      </w:pPr>
      <w:r>
        <w:rPr>
          <w:rFonts w:ascii="Stone Sans II ITC Com Lt" w:eastAsia="Times New Roman" w:hAnsi="Stone Sans II ITC Com Lt"/>
          <w:sz w:val="20"/>
          <w:lang w:eastAsia="de-DE"/>
        </w:rPr>
        <w:t>BU: Das neueste Mitglied in der ACO Produktfamilie: Die</w:t>
      </w:r>
      <w:r w:rsidR="00742AF8">
        <w:rPr>
          <w:rFonts w:ascii="Stone Sans II ITC Com Lt" w:eastAsia="Times New Roman" w:hAnsi="Stone Sans II ITC Com Lt"/>
          <w:sz w:val="20"/>
          <w:lang w:eastAsia="de-DE"/>
        </w:rPr>
        <w:t xml:space="preserve"> Stahlbetonschlitzrinne</w:t>
      </w:r>
      <w:r>
        <w:rPr>
          <w:rFonts w:ascii="Stone Sans II ITC Com Lt" w:eastAsia="Times New Roman" w:hAnsi="Stone Sans II ITC Com Lt"/>
          <w:sz w:val="20"/>
          <w:lang w:eastAsia="de-DE"/>
        </w:rPr>
        <w:t xml:space="preserve"> ACO Pfuhler Z</w:t>
      </w:r>
      <w:r w:rsidR="00742AF8">
        <w:rPr>
          <w:rFonts w:ascii="Stone Sans II ITC Com Lt" w:eastAsia="Times New Roman" w:hAnsi="Stone Sans II ITC Com Lt"/>
          <w:sz w:val="20"/>
          <w:lang w:eastAsia="de-DE"/>
        </w:rPr>
        <w:t>.</w:t>
      </w:r>
      <w:r w:rsidR="00532D96" w:rsidRPr="00032CEF">
        <w:rPr>
          <w:rFonts w:ascii="Stone Sans II ITC Com Bk" w:hAnsi="Stone Sans II ITC Com Bk"/>
        </w:rPr>
        <w:br/>
      </w:r>
    </w:p>
    <w:p w14:paraId="79BAB98E" w14:textId="77777777" w:rsidR="00532D96" w:rsidRPr="00032CEF" w:rsidRDefault="00532D96" w:rsidP="00326BE0">
      <w:pPr>
        <w:pStyle w:val="Default"/>
        <w:spacing w:line="360" w:lineRule="auto"/>
        <w:rPr>
          <w:rFonts w:ascii="Stone Sans II ITC Com Lt" w:eastAsia="Times New Roman" w:hAnsi="Stone Sans II ITC Com Lt"/>
          <w:sz w:val="20"/>
          <w:lang w:eastAsia="de-DE"/>
        </w:rPr>
      </w:pPr>
    </w:p>
    <w:p w14:paraId="675330E7" w14:textId="33B993D6" w:rsidR="00634F90" w:rsidRDefault="009645F1"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00634F90" w:rsidRPr="000B433D">
        <w:rPr>
          <w:rFonts w:ascii="Stone Sans II ITC Com Lt" w:eastAsia="Times New Roman" w:hAnsi="Stone Sans II ITC Com Lt" w:cs="Arial"/>
          <w:sz w:val="20"/>
          <w:szCs w:val="24"/>
          <w:lang w:eastAsia="de-DE"/>
        </w:rPr>
        <w:t>:</w:t>
      </w:r>
    </w:p>
    <w:p w14:paraId="3DAF59DD" w14:textId="7EA1A2DC" w:rsidR="0036366E" w:rsidRPr="008501C4" w:rsidRDefault="0036366E" w:rsidP="00D975E2">
      <w:pPr>
        <w:spacing w:after="0"/>
        <w:textAlignment w:val="baseline"/>
        <w:rPr>
          <w:rFonts w:ascii="Stone Sans II ITC Com Lt" w:eastAsia="Times New Roman" w:hAnsi="Stone Sans II ITC Com Lt" w:cs="Arial"/>
          <w:sz w:val="20"/>
          <w:szCs w:val="24"/>
          <w:lang w:eastAsia="de-DE"/>
        </w:rPr>
      </w:pPr>
      <w:r w:rsidRPr="008501C4">
        <w:rPr>
          <w:rFonts w:ascii="Stone Sans II ITC Com Lt" w:eastAsia="Times New Roman" w:hAnsi="Stone Sans II ITC Com Lt" w:cs="Arial"/>
          <w:sz w:val="20"/>
          <w:szCs w:val="24"/>
          <w:lang w:eastAsia="de-DE"/>
        </w:rPr>
        <w:t>ACO GmbH</w:t>
      </w:r>
    </w:p>
    <w:p w14:paraId="0646EA1E" w14:textId="416AEF62" w:rsidR="00B74E51" w:rsidRPr="008501C4" w:rsidRDefault="000B433D" w:rsidP="00DE73D8">
      <w:pPr>
        <w:rPr>
          <w:rStyle w:val="Hyperlink"/>
          <w:rFonts w:ascii="Stone Sans II ITC Com Lt" w:hAnsi="Stone Sans II ITC Com Lt" w:cs="Arial"/>
          <w:color w:val="000000" w:themeColor="text1"/>
          <w:sz w:val="20"/>
          <w:u w:val="none"/>
        </w:rPr>
      </w:pPr>
      <w:r w:rsidRPr="008501C4">
        <w:rPr>
          <w:rFonts w:ascii="Stone Sans II ITC Com Lt" w:hAnsi="Stone Sans II ITC Com Lt" w:cs="Arial"/>
          <w:b/>
          <w:bCs/>
          <w:color w:val="000000" w:themeColor="text1"/>
          <w:sz w:val="20"/>
        </w:rPr>
        <w:t xml:space="preserve">Tanja Holst </w:t>
      </w:r>
      <w:r w:rsidR="00CB1D67" w:rsidRPr="008501C4">
        <w:rPr>
          <w:rFonts w:ascii="Stone Sans II ITC Com Lt" w:hAnsi="Stone Sans II ITC Com Lt" w:cs="Arial"/>
          <w:b/>
          <w:bCs/>
          <w:color w:val="000000" w:themeColor="text1"/>
          <w:sz w:val="20"/>
        </w:rPr>
        <w:br/>
      </w:r>
      <w:r w:rsidR="00CB1D67" w:rsidRPr="008501C4">
        <w:rPr>
          <w:rFonts w:ascii="Stone Sans II ITC Com Lt" w:hAnsi="Stone Sans II ITC Com Lt" w:cs="Arial"/>
          <w:color w:val="000000" w:themeColor="text1"/>
          <w:sz w:val="20"/>
        </w:rPr>
        <w:t>Public Relations - Fachpresse</w:t>
      </w:r>
      <w:r w:rsidR="00C00711" w:rsidRPr="008501C4">
        <w:rPr>
          <w:rFonts w:ascii="Stone Sans II ITC Com Lt" w:hAnsi="Stone Sans II ITC Com Lt" w:cs="Arial"/>
          <w:color w:val="000000"/>
          <w:sz w:val="20"/>
          <w:shd w:val="clear" w:color="auto" w:fill="FFFFFF"/>
        </w:rPr>
        <w:br/>
      </w:r>
      <w:r w:rsidR="00DE73D8" w:rsidRPr="008501C4">
        <w:rPr>
          <w:rFonts w:ascii="Stone Sans II ITC Com Lt" w:hAnsi="Stone Sans II ITC Com Lt" w:cs="Arial"/>
          <w:color w:val="000000"/>
          <w:sz w:val="20"/>
          <w:shd w:val="clear" w:color="auto" w:fill="FFFFFF"/>
        </w:rPr>
        <w:t>T</w:t>
      </w:r>
      <w:r w:rsidR="00DE73D8" w:rsidRPr="008501C4">
        <w:rPr>
          <w:rFonts w:ascii="Stone Sans II ITC Com Lt" w:hAnsi="Stone Sans II ITC Com Lt" w:cs="Arial"/>
          <w:color w:val="000000" w:themeColor="text1"/>
          <w:sz w:val="20"/>
          <w:shd w:val="clear" w:color="auto" w:fill="FFFFFF"/>
        </w:rPr>
        <w:t>el.: </w:t>
      </w:r>
      <w:hyperlink r:id="rId20" w:history="1">
        <w:r w:rsidR="00DE73D8" w:rsidRPr="008501C4">
          <w:rPr>
            <w:rStyle w:val="Hyperlink"/>
            <w:rFonts w:ascii="Stone Sans II ITC Com Lt" w:hAnsi="Stone Sans II ITC Com Lt" w:cs="Arial"/>
            <w:color w:val="000000" w:themeColor="text1"/>
            <w:sz w:val="20"/>
            <w:u w:val="none"/>
            <w:shd w:val="clear" w:color="auto" w:fill="FFFFFF"/>
          </w:rPr>
          <w:t xml:space="preserve">+49 4331 354 </w:t>
        </w:r>
      </w:hyperlink>
      <w:r w:rsidRPr="008501C4">
        <w:rPr>
          <w:rStyle w:val="Hyperlink"/>
          <w:rFonts w:ascii="Stone Sans II ITC Com Lt" w:hAnsi="Stone Sans II ITC Com Lt" w:cs="Arial"/>
          <w:color w:val="000000" w:themeColor="text1"/>
          <w:sz w:val="20"/>
          <w:u w:val="none"/>
          <w:shd w:val="clear" w:color="auto" w:fill="FFFFFF"/>
        </w:rPr>
        <w:t>197</w:t>
      </w:r>
      <w:r w:rsidRPr="008501C4">
        <w:rPr>
          <w:rStyle w:val="Hyperlink"/>
          <w:rFonts w:ascii="Stone Sans II ITC Com Lt" w:hAnsi="Stone Sans II ITC Com Lt" w:cs="Arial"/>
          <w:color w:val="000000" w:themeColor="text1"/>
          <w:sz w:val="20"/>
          <w:u w:val="none"/>
          <w:shd w:val="clear" w:color="auto" w:fill="FFFFFF"/>
        </w:rPr>
        <w:br/>
        <w:t>Mobil: +49 151 64738331</w:t>
      </w:r>
      <w:r w:rsidR="00D975E2" w:rsidRPr="008501C4">
        <w:rPr>
          <w:rFonts w:ascii="Stone Sans II ITC Com Lt" w:hAnsi="Stone Sans II ITC Com Lt" w:cs="Arial"/>
          <w:color w:val="000000"/>
          <w:sz w:val="17"/>
          <w:szCs w:val="17"/>
          <w:lang w:eastAsia="de-DE"/>
        </w:rPr>
        <w:t xml:space="preserve"> </w:t>
      </w:r>
      <w:r w:rsidR="00D975E2" w:rsidRPr="008501C4">
        <w:rPr>
          <w:rFonts w:ascii="Stone Sans II ITC Com Lt" w:hAnsi="Stone Sans II ITC Com Lt" w:cs="Arial"/>
          <w:color w:val="000000"/>
          <w:sz w:val="17"/>
          <w:szCs w:val="17"/>
          <w:lang w:eastAsia="de-DE"/>
        </w:rPr>
        <w:br/>
      </w:r>
      <w:r w:rsidR="00DE73D8" w:rsidRPr="008501C4">
        <w:rPr>
          <w:rFonts w:ascii="Stone Sans II ITC Com Lt" w:hAnsi="Stone Sans II ITC Com Lt" w:cs="Arial"/>
          <w:color w:val="000000" w:themeColor="text1"/>
          <w:sz w:val="20"/>
          <w:shd w:val="clear" w:color="auto" w:fill="FFFFFF"/>
        </w:rPr>
        <w:t>E-</w:t>
      </w:r>
      <w:r w:rsidR="00B95F54" w:rsidRPr="008501C4">
        <w:rPr>
          <w:rFonts w:ascii="Stone Sans II ITC Com Lt" w:hAnsi="Stone Sans II ITC Com Lt" w:cs="Arial"/>
          <w:color w:val="000000" w:themeColor="text1"/>
          <w:sz w:val="20"/>
          <w:shd w:val="clear" w:color="auto" w:fill="FFFFFF"/>
        </w:rPr>
        <w:t>M</w:t>
      </w:r>
      <w:r w:rsidR="00DE73D8" w:rsidRPr="008501C4">
        <w:rPr>
          <w:rFonts w:ascii="Stone Sans II ITC Com Lt" w:hAnsi="Stone Sans II ITC Com Lt" w:cs="Arial"/>
          <w:color w:val="000000" w:themeColor="text1"/>
          <w:sz w:val="20"/>
          <w:shd w:val="clear" w:color="auto" w:fill="FFFFFF"/>
        </w:rPr>
        <w:t>ail: </w:t>
      </w:r>
      <w:hyperlink r:id="rId21" w:history="1">
        <w:r w:rsidR="00462739" w:rsidRPr="008501C4">
          <w:rPr>
            <w:rStyle w:val="Hyperlink"/>
            <w:rFonts w:ascii="Stone Sans II ITC Com Lt" w:hAnsi="Stone Sans II ITC Com Lt" w:cs="Arial"/>
            <w:sz w:val="20"/>
            <w:shd w:val="clear" w:color="auto" w:fill="FFFFFF"/>
          </w:rPr>
          <w:t>tanja.holst@aco.com</w:t>
        </w:r>
      </w:hyperlink>
    </w:p>
    <w:p w14:paraId="1F266D36" w14:textId="77777777" w:rsidR="00542585" w:rsidRPr="008501C4" w:rsidRDefault="00542585" w:rsidP="00DE73D8">
      <w:pPr>
        <w:rPr>
          <w:rStyle w:val="Hyperlink"/>
          <w:rFonts w:ascii="Arial" w:hAnsi="Arial" w:cs="Arial"/>
          <w:color w:val="000000" w:themeColor="text1"/>
          <w:sz w:val="20"/>
          <w:u w:val="none"/>
          <w:shd w:val="clear" w:color="auto" w:fill="FFFFFF"/>
        </w:rPr>
      </w:pPr>
    </w:p>
    <w:sectPr w:rsidR="00542585" w:rsidRPr="008501C4" w:rsidSect="002C44C2">
      <w:footerReference w:type="default" r:id="rId22"/>
      <w:pgSz w:w="11906" w:h="16838"/>
      <w:pgMar w:top="851" w:right="1274"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C2121" w14:textId="77777777" w:rsidR="002C44C2" w:rsidRDefault="002C44C2" w:rsidP="00044844">
      <w:pPr>
        <w:spacing w:after="0" w:line="240" w:lineRule="auto"/>
      </w:pPr>
      <w:r>
        <w:separator/>
      </w:r>
    </w:p>
  </w:endnote>
  <w:endnote w:type="continuationSeparator" w:id="0">
    <w:p w14:paraId="165D20A1" w14:textId="77777777" w:rsidR="002C44C2" w:rsidRDefault="002C44C2" w:rsidP="00044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one Sans II ITC Com Lt">
    <w:altName w:val="Stone Sans II ITC Com Lt"/>
    <w:panose1 w:val="020B0302040503020204"/>
    <w:charset w:val="00"/>
    <w:family w:val="swiss"/>
    <w:pitch w:val="variable"/>
    <w:sig w:usb0="A00000AF" w:usb1="5000205B" w:usb2="00000000" w:usb3="00000000" w:csb0="0000009B" w:csb1="00000000"/>
  </w:font>
  <w:font w:name="NewsGothic,Bold">
    <w:panose1 w:val="00000000000000000000"/>
    <w:charset w:val="00"/>
    <w:family w:val="auto"/>
    <w:notTrueType/>
    <w:pitch w:val="default"/>
    <w:sig w:usb0="00000003" w:usb1="00000000" w:usb2="00000000" w:usb3="00000000" w:csb0="00000001" w:csb1="00000000"/>
  </w:font>
  <w:font w:name="Stone Sans II ITC Com Bk">
    <w:panose1 w:val="020B0502040503020204"/>
    <w:charset w:val="00"/>
    <w:family w:val="swiss"/>
    <w:pitch w:val="variable"/>
    <w:sig w:usb0="A00000AF" w:usb1="5000205B" w:usb2="00000000" w:usb3="00000000" w:csb0="0000009B" w:csb1="00000000"/>
  </w:font>
  <w:font w:name="Stone Sans II ITC Com Lt Cn">
    <w:panose1 w:val="020B0306040503020204"/>
    <w:charset w:val="00"/>
    <w:family w:val="swiss"/>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E26E" w14:textId="356E7BE5" w:rsidR="00044844" w:rsidRPr="00CB4EB3" w:rsidRDefault="00D01A8A" w:rsidP="003E71A3">
    <w:pPr>
      <w:pStyle w:val="Fuzeile"/>
      <w:tabs>
        <w:tab w:val="clear" w:pos="4536"/>
        <w:tab w:val="clear" w:pos="9072"/>
        <w:tab w:val="left" w:pos="1970"/>
      </w:tabs>
      <w:jc w:val="right"/>
      <w:rPr>
        <w:rFonts w:ascii="Stone Sans II ITC Com Lt Cn" w:hAnsi="Stone Sans II ITC Com Lt Cn"/>
        <w:color w:val="BFBFBF"/>
        <w:sz w:val="18"/>
        <w:szCs w:val="18"/>
      </w:rPr>
    </w:pPr>
    <w:r>
      <w:rPr>
        <w:noProof/>
        <w:lang w:eastAsia="de-DE"/>
      </w:rPr>
      <w:drawing>
        <wp:anchor distT="0" distB="0" distL="114300" distR="114300" simplePos="0" relativeHeight="251662336" behindDoc="0" locked="0" layoutInCell="1" allowOverlap="1" wp14:anchorId="1F99D5D5" wp14:editId="6BAD0FD0">
          <wp:simplePos x="0" y="0"/>
          <wp:positionH relativeFrom="column">
            <wp:posOffset>1391446</wp:posOffset>
          </wp:positionH>
          <wp:positionV relativeFrom="paragraph">
            <wp:posOffset>75565</wp:posOffset>
          </wp:positionV>
          <wp:extent cx="251460" cy="251460"/>
          <wp:effectExtent l="0" t="0" r="0" b="0"/>
          <wp:wrapNone/>
          <wp:docPr id="4" name="Grafik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_r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69448AAF" wp14:editId="7E3B6CD1">
          <wp:simplePos x="0" y="0"/>
          <wp:positionH relativeFrom="column">
            <wp:posOffset>1035211</wp:posOffset>
          </wp:positionH>
          <wp:positionV relativeFrom="paragraph">
            <wp:posOffset>75565</wp:posOffset>
          </wp:positionV>
          <wp:extent cx="251460" cy="251460"/>
          <wp:effectExtent l="0" t="0" r="0" b="0"/>
          <wp:wrapNone/>
          <wp:docPr id="5" name="Grafik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0288" behindDoc="1" locked="0" layoutInCell="1" allowOverlap="1" wp14:anchorId="7C73EDEF" wp14:editId="067BE8FB">
          <wp:simplePos x="0" y="0"/>
          <wp:positionH relativeFrom="column">
            <wp:posOffset>686435</wp:posOffset>
          </wp:positionH>
          <wp:positionV relativeFrom="paragraph">
            <wp:posOffset>76200</wp:posOffset>
          </wp:positionV>
          <wp:extent cx="251460" cy="251460"/>
          <wp:effectExtent l="0" t="0" r="0" b="0"/>
          <wp:wrapNone/>
          <wp:docPr id="6" name="Grafik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_r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0" locked="0" layoutInCell="1" allowOverlap="1" wp14:anchorId="5AA5A219" wp14:editId="431B58EA">
          <wp:simplePos x="0" y="0"/>
          <wp:positionH relativeFrom="column">
            <wp:posOffset>343061</wp:posOffset>
          </wp:positionH>
          <wp:positionV relativeFrom="paragraph">
            <wp:posOffset>76200</wp:posOffset>
          </wp:positionV>
          <wp:extent cx="251460" cy="251460"/>
          <wp:effectExtent l="0" t="0" r="0" b="0"/>
          <wp:wrapThrough wrapText="bothSides">
            <wp:wrapPolygon edited="0">
              <wp:start x="0" y="0"/>
              <wp:lineTo x="0" y="19636"/>
              <wp:lineTo x="19636" y="19636"/>
              <wp:lineTo x="19636" y="0"/>
              <wp:lineTo x="0" y="0"/>
            </wp:wrapPolygon>
          </wp:wrapThrough>
          <wp:docPr id="7" name="Grafik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CA2083">
      <w:rPr>
        <w:rFonts w:ascii="Stone Sans II ITC Com Lt Cn" w:hAnsi="Stone Sans II ITC Com Lt Cn"/>
        <w:noProof/>
        <w:color w:val="BFBFBF"/>
        <w:sz w:val="18"/>
        <w:szCs w:val="18"/>
        <w:lang w:eastAsia="de-DE"/>
      </w:rPr>
      <w:drawing>
        <wp:anchor distT="0" distB="0" distL="114300" distR="114300" simplePos="0" relativeHeight="251658240" behindDoc="1" locked="0" layoutInCell="1" allowOverlap="1" wp14:anchorId="3D4D4CCA" wp14:editId="437EB943">
          <wp:simplePos x="0" y="0"/>
          <wp:positionH relativeFrom="margin">
            <wp:align>left</wp:align>
          </wp:positionH>
          <wp:positionV relativeFrom="paragraph">
            <wp:posOffset>74930</wp:posOffset>
          </wp:positionV>
          <wp:extent cx="252000" cy="252000"/>
          <wp:effectExtent l="0" t="0" r="0" b="0"/>
          <wp:wrapTight wrapText="bothSides">
            <wp:wrapPolygon edited="0">
              <wp:start x="0" y="0"/>
              <wp:lineTo x="0" y="19636"/>
              <wp:lineTo x="19636" y="19636"/>
              <wp:lineTo x="19636" y="0"/>
              <wp:lineTo x="0" y="0"/>
            </wp:wrapPolygon>
          </wp:wrapTight>
          <wp:docPr id="8" name="Grafik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00044844" w:rsidRPr="00CB4EB3">
      <w:rPr>
        <w:rFonts w:ascii="Stone Sans II ITC Com Lt Cn" w:hAnsi="Stone Sans II ITC Com Lt Cn"/>
        <w:color w:val="BFBFBF"/>
        <w:sz w:val="18"/>
        <w:szCs w:val="18"/>
      </w:rPr>
      <w:t xml:space="preserve">Seite </w:t>
    </w:r>
    <w:sdt>
      <w:sdtPr>
        <w:rPr>
          <w:rFonts w:ascii="Stone Sans II ITC Com Lt Cn" w:hAnsi="Stone Sans II ITC Com Lt Cn"/>
          <w:b/>
          <w:color w:val="BFBFBF"/>
          <w:sz w:val="18"/>
          <w:szCs w:val="18"/>
        </w:rPr>
        <w:id w:val="-569734593"/>
        <w:docPartObj>
          <w:docPartGallery w:val="Page Numbers (Bottom of Page)"/>
          <w:docPartUnique/>
        </w:docPartObj>
      </w:sdtPr>
      <w:sdtEndPr/>
      <w:sdtContent>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PAGE   \* MERGEFORMAT</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1</w:t>
        </w:r>
        <w:r w:rsidR="00044844" w:rsidRPr="00CB4EB3">
          <w:rPr>
            <w:rFonts w:ascii="Stone Sans II ITC Com Lt Cn" w:hAnsi="Stone Sans II ITC Com Lt Cn"/>
            <w:b/>
            <w:color w:val="BFBFBF"/>
            <w:sz w:val="18"/>
            <w:szCs w:val="18"/>
          </w:rPr>
          <w:fldChar w:fldCharType="end"/>
        </w:r>
        <w:r w:rsidR="00044844" w:rsidRPr="00CB4EB3">
          <w:rPr>
            <w:rFonts w:ascii="Stone Sans II ITC Com Lt Cn" w:hAnsi="Stone Sans II ITC Com Lt Cn"/>
            <w:b/>
            <w:color w:val="BFBFBF"/>
            <w:sz w:val="18"/>
            <w:szCs w:val="18"/>
          </w:rPr>
          <w:t xml:space="preserve"> </w:t>
        </w:r>
        <w:r w:rsidR="00044844" w:rsidRPr="00CB4EB3">
          <w:rPr>
            <w:rFonts w:ascii="Stone Sans II ITC Com Lt Cn" w:hAnsi="Stone Sans II ITC Com Lt Cn"/>
            <w:color w:val="BFBFBF"/>
            <w:sz w:val="18"/>
            <w:szCs w:val="18"/>
          </w:rPr>
          <w:t xml:space="preserve">von </w:t>
        </w:r>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 xml:space="preserve"> NUMPAGES   \* MERGEFORMAT </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2</w:t>
        </w:r>
        <w:r w:rsidR="00044844" w:rsidRPr="00CB4EB3">
          <w:rPr>
            <w:rFonts w:ascii="Stone Sans II ITC Com Lt Cn" w:hAnsi="Stone Sans II ITC Com Lt Cn"/>
            <w:b/>
            <w:color w:val="BFBFBF"/>
            <w:sz w:val="18"/>
            <w:szCs w:val="18"/>
          </w:rPr>
          <w:fldChar w:fldCharType="end"/>
        </w:r>
      </w:sdtContent>
    </w:sdt>
    <w:r w:rsidR="003E71A3">
      <w:rPr>
        <w:rFonts w:ascii="Stone Sans II ITC Com Lt Cn" w:hAnsi="Stone Sans II ITC Com Lt Cn"/>
        <w:b/>
        <w:color w:val="BFBFBF"/>
        <w:sz w:val="18"/>
        <w:szCs w:val="18"/>
      </w:rPr>
      <w:tab/>
    </w:r>
  </w:p>
  <w:p w14:paraId="34C76B15" w14:textId="77777777" w:rsidR="00044844" w:rsidRDefault="000448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42F04" w14:textId="77777777" w:rsidR="002C44C2" w:rsidRDefault="002C44C2" w:rsidP="00044844">
      <w:pPr>
        <w:spacing w:after="0" w:line="240" w:lineRule="auto"/>
      </w:pPr>
      <w:r>
        <w:separator/>
      </w:r>
    </w:p>
  </w:footnote>
  <w:footnote w:type="continuationSeparator" w:id="0">
    <w:p w14:paraId="4BDC5B62" w14:textId="77777777" w:rsidR="002C44C2" w:rsidRDefault="002C44C2" w:rsidP="00044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8671E"/>
    <w:multiLevelType w:val="hybridMultilevel"/>
    <w:tmpl w:val="9CFA8D46"/>
    <w:lvl w:ilvl="0" w:tplc="65E43834">
      <w:start w:val="2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455251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oRADokID" w:val="1519"/>
    <w:docVar w:name="NoRADokVerTyp" w:val="NoRADokument"/>
  </w:docVars>
  <w:rsids>
    <w:rsidRoot w:val="00044844"/>
    <w:rsid w:val="000130E6"/>
    <w:rsid w:val="000134E5"/>
    <w:rsid w:val="000241E9"/>
    <w:rsid w:val="00032CEF"/>
    <w:rsid w:val="0003347E"/>
    <w:rsid w:val="00034D8F"/>
    <w:rsid w:val="00036DD8"/>
    <w:rsid w:val="0003777C"/>
    <w:rsid w:val="0004480A"/>
    <w:rsid w:val="00044844"/>
    <w:rsid w:val="000509A8"/>
    <w:rsid w:val="0006391B"/>
    <w:rsid w:val="00066AD4"/>
    <w:rsid w:val="00066D1B"/>
    <w:rsid w:val="00067C2E"/>
    <w:rsid w:val="0007003C"/>
    <w:rsid w:val="00071C2F"/>
    <w:rsid w:val="0009286F"/>
    <w:rsid w:val="00094875"/>
    <w:rsid w:val="000B030F"/>
    <w:rsid w:val="000B31AA"/>
    <w:rsid w:val="000B433D"/>
    <w:rsid w:val="000E67EA"/>
    <w:rsid w:val="000E71CB"/>
    <w:rsid w:val="000F78C7"/>
    <w:rsid w:val="00101A5B"/>
    <w:rsid w:val="001024AB"/>
    <w:rsid w:val="00105B60"/>
    <w:rsid w:val="00115B09"/>
    <w:rsid w:val="001216DA"/>
    <w:rsid w:val="0013362A"/>
    <w:rsid w:val="0013479F"/>
    <w:rsid w:val="00145C3C"/>
    <w:rsid w:val="0015467F"/>
    <w:rsid w:val="001752CD"/>
    <w:rsid w:val="00182CEE"/>
    <w:rsid w:val="00184256"/>
    <w:rsid w:val="001902FC"/>
    <w:rsid w:val="001A1EDB"/>
    <w:rsid w:val="001A4B88"/>
    <w:rsid w:val="001A746A"/>
    <w:rsid w:val="001A7868"/>
    <w:rsid w:val="001B22EF"/>
    <w:rsid w:val="001B57F6"/>
    <w:rsid w:val="001C5CCB"/>
    <w:rsid w:val="001C633F"/>
    <w:rsid w:val="001D34AF"/>
    <w:rsid w:val="001D5E70"/>
    <w:rsid w:val="001E7191"/>
    <w:rsid w:val="001F580C"/>
    <w:rsid w:val="00204BF2"/>
    <w:rsid w:val="002064C6"/>
    <w:rsid w:val="002066A7"/>
    <w:rsid w:val="0021143A"/>
    <w:rsid w:val="00212095"/>
    <w:rsid w:val="00212273"/>
    <w:rsid w:val="002235AE"/>
    <w:rsid w:val="00226B61"/>
    <w:rsid w:val="002363FF"/>
    <w:rsid w:val="00245EDA"/>
    <w:rsid w:val="002503CD"/>
    <w:rsid w:val="00252708"/>
    <w:rsid w:val="00252EC7"/>
    <w:rsid w:val="002576EC"/>
    <w:rsid w:val="002630E4"/>
    <w:rsid w:val="00265A18"/>
    <w:rsid w:val="00270A69"/>
    <w:rsid w:val="00270DB6"/>
    <w:rsid w:val="00274321"/>
    <w:rsid w:val="00284790"/>
    <w:rsid w:val="002C44C2"/>
    <w:rsid w:val="002D4FDB"/>
    <w:rsid w:val="002D67A7"/>
    <w:rsid w:val="002D77CC"/>
    <w:rsid w:val="002E7E51"/>
    <w:rsid w:val="002F109B"/>
    <w:rsid w:val="002F7027"/>
    <w:rsid w:val="003058CA"/>
    <w:rsid w:val="00311284"/>
    <w:rsid w:val="0031267A"/>
    <w:rsid w:val="00323D5A"/>
    <w:rsid w:val="00326600"/>
    <w:rsid w:val="00326BE0"/>
    <w:rsid w:val="003324AB"/>
    <w:rsid w:val="00350908"/>
    <w:rsid w:val="003567B5"/>
    <w:rsid w:val="00356D87"/>
    <w:rsid w:val="0036366E"/>
    <w:rsid w:val="00376682"/>
    <w:rsid w:val="003931C9"/>
    <w:rsid w:val="003A0B9E"/>
    <w:rsid w:val="003B38E3"/>
    <w:rsid w:val="003B4C8D"/>
    <w:rsid w:val="003B4CE2"/>
    <w:rsid w:val="003C2212"/>
    <w:rsid w:val="003C2BA8"/>
    <w:rsid w:val="003C3DA2"/>
    <w:rsid w:val="003D4EEB"/>
    <w:rsid w:val="003E00A4"/>
    <w:rsid w:val="003E6412"/>
    <w:rsid w:val="003E6B8C"/>
    <w:rsid w:val="003E71A3"/>
    <w:rsid w:val="003F08B4"/>
    <w:rsid w:val="003F31E9"/>
    <w:rsid w:val="004005BD"/>
    <w:rsid w:val="00406A3C"/>
    <w:rsid w:val="00410530"/>
    <w:rsid w:val="00414A7A"/>
    <w:rsid w:val="00416C87"/>
    <w:rsid w:val="00422EC6"/>
    <w:rsid w:val="0042722F"/>
    <w:rsid w:val="004445DB"/>
    <w:rsid w:val="00447457"/>
    <w:rsid w:val="00451162"/>
    <w:rsid w:val="00455AFF"/>
    <w:rsid w:val="00462739"/>
    <w:rsid w:val="0047148D"/>
    <w:rsid w:val="00472784"/>
    <w:rsid w:val="00490779"/>
    <w:rsid w:val="004A67B9"/>
    <w:rsid w:val="004B748E"/>
    <w:rsid w:val="004D475B"/>
    <w:rsid w:val="004D7038"/>
    <w:rsid w:val="004E7EF0"/>
    <w:rsid w:val="004F313D"/>
    <w:rsid w:val="00504DA2"/>
    <w:rsid w:val="005068B0"/>
    <w:rsid w:val="0050698B"/>
    <w:rsid w:val="00512BD8"/>
    <w:rsid w:val="00532D96"/>
    <w:rsid w:val="0053352C"/>
    <w:rsid w:val="00542585"/>
    <w:rsid w:val="00547368"/>
    <w:rsid w:val="00561AB5"/>
    <w:rsid w:val="0056326C"/>
    <w:rsid w:val="00565445"/>
    <w:rsid w:val="00566FBB"/>
    <w:rsid w:val="00570E74"/>
    <w:rsid w:val="00576DF6"/>
    <w:rsid w:val="00582064"/>
    <w:rsid w:val="00594ABF"/>
    <w:rsid w:val="005A40D0"/>
    <w:rsid w:val="005A7373"/>
    <w:rsid w:val="005B08C3"/>
    <w:rsid w:val="005C18B7"/>
    <w:rsid w:val="005E122A"/>
    <w:rsid w:val="005F1430"/>
    <w:rsid w:val="00611C56"/>
    <w:rsid w:val="00612C08"/>
    <w:rsid w:val="006278C0"/>
    <w:rsid w:val="00634424"/>
    <w:rsid w:val="00634F90"/>
    <w:rsid w:val="00642242"/>
    <w:rsid w:val="00643835"/>
    <w:rsid w:val="00646509"/>
    <w:rsid w:val="00651EE9"/>
    <w:rsid w:val="00652B4C"/>
    <w:rsid w:val="00653A55"/>
    <w:rsid w:val="006575E9"/>
    <w:rsid w:val="0066400A"/>
    <w:rsid w:val="00667B2B"/>
    <w:rsid w:val="0067033C"/>
    <w:rsid w:val="006764EF"/>
    <w:rsid w:val="006778AF"/>
    <w:rsid w:val="0068082B"/>
    <w:rsid w:val="00685A91"/>
    <w:rsid w:val="006971EE"/>
    <w:rsid w:val="006A0C3C"/>
    <w:rsid w:val="006A448E"/>
    <w:rsid w:val="006A6115"/>
    <w:rsid w:val="006B7A0D"/>
    <w:rsid w:val="006C398F"/>
    <w:rsid w:val="006D5DC3"/>
    <w:rsid w:val="006D7561"/>
    <w:rsid w:val="006D7AEF"/>
    <w:rsid w:val="006E0031"/>
    <w:rsid w:val="006E02FD"/>
    <w:rsid w:val="006E133C"/>
    <w:rsid w:val="006E3858"/>
    <w:rsid w:val="006F7F58"/>
    <w:rsid w:val="00704140"/>
    <w:rsid w:val="00710A67"/>
    <w:rsid w:val="00716728"/>
    <w:rsid w:val="0071733B"/>
    <w:rsid w:val="00717888"/>
    <w:rsid w:val="007179E6"/>
    <w:rsid w:val="0072074B"/>
    <w:rsid w:val="0072406E"/>
    <w:rsid w:val="00736C1B"/>
    <w:rsid w:val="0074008A"/>
    <w:rsid w:val="00742AF8"/>
    <w:rsid w:val="0075575F"/>
    <w:rsid w:val="00757274"/>
    <w:rsid w:val="00762FA7"/>
    <w:rsid w:val="00773FBF"/>
    <w:rsid w:val="00775017"/>
    <w:rsid w:val="00790667"/>
    <w:rsid w:val="00790A5F"/>
    <w:rsid w:val="00794EB3"/>
    <w:rsid w:val="007A00B8"/>
    <w:rsid w:val="007A111F"/>
    <w:rsid w:val="007A1EAA"/>
    <w:rsid w:val="007A3032"/>
    <w:rsid w:val="007A55F6"/>
    <w:rsid w:val="007A5CBC"/>
    <w:rsid w:val="007C26F0"/>
    <w:rsid w:val="007C3C4C"/>
    <w:rsid w:val="007D3B6D"/>
    <w:rsid w:val="007D588F"/>
    <w:rsid w:val="007D79B0"/>
    <w:rsid w:val="007E45DA"/>
    <w:rsid w:val="007F15DC"/>
    <w:rsid w:val="007F4502"/>
    <w:rsid w:val="007F72DC"/>
    <w:rsid w:val="00817C8D"/>
    <w:rsid w:val="00826048"/>
    <w:rsid w:val="00830366"/>
    <w:rsid w:val="00842DC3"/>
    <w:rsid w:val="00844456"/>
    <w:rsid w:val="008501C4"/>
    <w:rsid w:val="0086253F"/>
    <w:rsid w:val="00862802"/>
    <w:rsid w:val="00864546"/>
    <w:rsid w:val="008756B2"/>
    <w:rsid w:val="008765CA"/>
    <w:rsid w:val="008B0BC3"/>
    <w:rsid w:val="008B165E"/>
    <w:rsid w:val="008B186B"/>
    <w:rsid w:val="008C7D53"/>
    <w:rsid w:val="008D01B3"/>
    <w:rsid w:val="008E6D30"/>
    <w:rsid w:val="008F2732"/>
    <w:rsid w:val="00902C82"/>
    <w:rsid w:val="00904FBC"/>
    <w:rsid w:val="00906434"/>
    <w:rsid w:val="00920654"/>
    <w:rsid w:val="00932EB0"/>
    <w:rsid w:val="00934C1D"/>
    <w:rsid w:val="00936927"/>
    <w:rsid w:val="009503EA"/>
    <w:rsid w:val="00951E26"/>
    <w:rsid w:val="00955473"/>
    <w:rsid w:val="009645F1"/>
    <w:rsid w:val="00970FE3"/>
    <w:rsid w:val="00984FC7"/>
    <w:rsid w:val="00986894"/>
    <w:rsid w:val="00995C8F"/>
    <w:rsid w:val="009A3004"/>
    <w:rsid w:val="009A4B51"/>
    <w:rsid w:val="009B0345"/>
    <w:rsid w:val="009B658A"/>
    <w:rsid w:val="009C0B31"/>
    <w:rsid w:val="009C5B44"/>
    <w:rsid w:val="009D6F61"/>
    <w:rsid w:val="009D7D34"/>
    <w:rsid w:val="009D7D4D"/>
    <w:rsid w:val="009E094C"/>
    <w:rsid w:val="009E123B"/>
    <w:rsid w:val="009F4E43"/>
    <w:rsid w:val="00A10FAC"/>
    <w:rsid w:val="00A16B13"/>
    <w:rsid w:val="00A22593"/>
    <w:rsid w:val="00A30148"/>
    <w:rsid w:val="00A3561E"/>
    <w:rsid w:val="00A4013C"/>
    <w:rsid w:val="00A42521"/>
    <w:rsid w:val="00A45CC5"/>
    <w:rsid w:val="00A472FE"/>
    <w:rsid w:val="00A5469C"/>
    <w:rsid w:val="00A5514E"/>
    <w:rsid w:val="00A7073F"/>
    <w:rsid w:val="00A76CCE"/>
    <w:rsid w:val="00A843C6"/>
    <w:rsid w:val="00A84D08"/>
    <w:rsid w:val="00A947C5"/>
    <w:rsid w:val="00A9688F"/>
    <w:rsid w:val="00AA378D"/>
    <w:rsid w:val="00AB0836"/>
    <w:rsid w:val="00AB67A2"/>
    <w:rsid w:val="00AD5F9C"/>
    <w:rsid w:val="00AE7527"/>
    <w:rsid w:val="00AF1958"/>
    <w:rsid w:val="00B0337C"/>
    <w:rsid w:val="00B05F4C"/>
    <w:rsid w:val="00B10442"/>
    <w:rsid w:val="00B14C0F"/>
    <w:rsid w:val="00B16ED4"/>
    <w:rsid w:val="00B25925"/>
    <w:rsid w:val="00B27299"/>
    <w:rsid w:val="00B354B3"/>
    <w:rsid w:val="00B36D84"/>
    <w:rsid w:val="00B36EB1"/>
    <w:rsid w:val="00B40415"/>
    <w:rsid w:val="00B4327B"/>
    <w:rsid w:val="00B44E7E"/>
    <w:rsid w:val="00B46ECD"/>
    <w:rsid w:val="00B60FA4"/>
    <w:rsid w:val="00B70644"/>
    <w:rsid w:val="00B728A3"/>
    <w:rsid w:val="00B74E51"/>
    <w:rsid w:val="00B85748"/>
    <w:rsid w:val="00B9116A"/>
    <w:rsid w:val="00B95F54"/>
    <w:rsid w:val="00BA04F4"/>
    <w:rsid w:val="00BB02C7"/>
    <w:rsid w:val="00BC2F52"/>
    <w:rsid w:val="00BC35D8"/>
    <w:rsid w:val="00BC3B25"/>
    <w:rsid w:val="00BC6514"/>
    <w:rsid w:val="00BC7E9D"/>
    <w:rsid w:val="00BD0911"/>
    <w:rsid w:val="00BD49AB"/>
    <w:rsid w:val="00BE0C1A"/>
    <w:rsid w:val="00BE4790"/>
    <w:rsid w:val="00BF42C2"/>
    <w:rsid w:val="00C00711"/>
    <w:rsid w:val="00C03AA0"/>
    <w:rsid w:val="00C04923"/>
    <w:rsid w:val="00C050A2"/>
    <w:rsid w:val="00C05110"/>
    <w:rsid w:val="00C1045C"/>
    <w:rsid w:val="00C112A6"/>
    <w:rsid w:val="00C274FC"/>
    <w:rsid w:val="00C42ED0"/>
    <w:rsid w:val="00C475C3"/>
    <w:rsid w:val="00C540E6"/>
    <w:rsid w:val="00C55AE2"/>
    <w:rsid w:val="00C5681D"/>
    <w:rsid w:val="00C578FB"/>
    <w:rsid w:val="00C63C4E"/>
    <w:rsid w:val="00C64668"/>
    <w:rsid w:val="00C71CBB"/>
    <w:rsid w:val="00C832A3"/>
    <w:rsid w:val="00C86D82"/>
    <w:rsid w:val="00C875AF"/>
    <w:rsid w:val="00C90F38"/>
    <w:rsid w:val="00C93C2C"/>
    <w:rsid w:val="00C961BA"/>
    <w:rsid w:val="00C97733"/>
    <w:rsid w:val="00CA2083"/>
    <w:rsid w:val="00CB1D67"/>
    <w:rsid w:val="00CB4EB3"/>
    <w:rsid w:val="00CB5832"/>
    <w:rsid w:val="00CB6EC1"/>
    <w:rsid w:val="00CC196D"/>
    <w:rsid w:val="00CD2BF5"/>
    <w:rsid w:val="00CD399E"/>
    <w:rsid w:val="00D01A8A"/>
    <w:rsid w:val="00D01A91"/>
    <w:rsid w:val="00D0325C"/>
    <w:rsid w:val="00D121B9"/>
    <w:rsid w:val="00D124E8"/>
    <w:rsid w:val="00D13E71"/>
    <w:rsid w:val="00D15547"/>
    <w:rsid w:val="00D2291A"/>
    <w:rsid w:val="00D31133"/>
    <w:rsid w:val="00D31A39"/>
    <w:rsid w:val="00D34C02"/>
    <w:rsid w:val="00D369FF"/>
    <w:rsid w:val="00D41F93"/>
    <w:rsid w:val="00D429CC"/>
    <w:rsid w:val="00D44918"/>
    <w:rsid w:val="00D57851"/>
    <w:rsid w:val="00D77F28"/>
    <w:rsid w:val="00D869B8"/>
    <w:rsid w:val="00D9042E"/>
    <w:rsid w:val="00D92022"/>
    <w:rsid w:val="00D92401"/>
    <w:rsid w:val="00D975E2"/>
    <w:rsid w:val="00DA30C0"/>
    <w:rsid w:val="00DA6BD9"/>
    <w:rsid w:val="00DB60A8"/>
    <w:rsid w:val="00DC4EF5"/>
    <w:rsid w:val="00DD17B3"/>
    <w:rsid w:val="00DD6AA3"/>
    <w:rsid w:val="00DD70B1"/>
    <w:rsid w:val="00DE017A"/>
    <w:rsid w:val="00DE4604"/>
    <w:rsid w:val="00DE73D8"/>
    <w:rsid w:val="00DF40BA"/>
    <w:rsid w:val="00E0433B"/>
    <w:rsid w:val="00E13373"/>
    <w:rsid w:val="00E3788D"/>
    <w:rsid w:val="00E41F1B"/>
    <w:rsid w:val="00E43F83"/>
    <w:rsid w:val="00E444C2"/>
    <w:rsid w:val="00E538CA"/>
    <w:rsid w:val="00E53EA6"/>
    <w:rsid w:val="00E53ED5"/>
    <w:rsid w:val="00E563B5"/>
    <w:rsid w:val="00E61E50"/>
    <w:rsid w:val="00E73259"/>
    <w:rsid w:val="00E764D5"/>
    <w:rsid w:val="00E873D6"/>
    <w:rsid w:val="00EA7710"/>
    <w:rsid w:val="00EB6750"/>
    <w:rsid w:val="00EC2B96"/>
    <w:rsid w:val="00EC4D69"/>
    <w:rsid w:val="00EC7A45"/>
    <w:rsid w:val="00EC7A7C"/>
    <w:rsid w:val="00ED462B"/>
    <w:rsid w:val="00ED6ED3"/>
    <w:rsid w:val="00EE4218"/>
    <w:rsid w:val="00EE427D"/>
    <w:rsid w:val="00EE5502"/>
    <w:rsid w:val="00EF60C1"/>
    <w:rsid w:val="00F02503"/>
    <w:rsid w:val="00F05BFD"/>
    <w:rsid w:val="00F07F40"/>
    <w:rsid w:val="00F1072F"/>
    <w:rsid w:val="00F109EE"/>
    <w:rsid w:val="00F13F80"/>
    <w:rsid w:val="00F2386F"/>
    <w:rsid w:val="00F546F0"/>
    <w:rsid w:val="00F73A8E"/>
    <w:rsid w:val="00F837E9"/>
    <w:rsid w:val="00F83C2D"/>
    <w:rsid w:val="00F840C7"/>
    <w:rsid w:val="00F84967"/>
    <w:rsid w:val="00FA179B"/>
    <w:rsid w:val="00FA407D"/>
    <w:rsid w:val="00FA480C"/>
    <w:rsid w:val="00FE59AD"/>
    <w:rsid w:val="00FF10A4"/>
    <w:rsid w:val="00FF131B"/>
    <w:rsid w:val="00FF68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8793D"/>
  <w15:docId w15:val="{110A9366-4562-4E62-8FF5-09E853CD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48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4844"/>
  </w:style>
  <w:style w:type="paragraph" w:styleId="Fuzeile">
    <w:name w:val="footer"/>
    <w:basedOn w:val="Standard"/>
    <w:link w:val="FuzeileZchn"/>
    <w:uiPriority w:val="99"/>
    <w:unhideWhenUsed/>
    <w:rsid w:val="000448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4844"/>
  </w:style>
  <w:style w:type="paragraph" w:styleId="Sprechblasentext">
    <w:name w:val="Balloon Text"/>
    <w:basedOn w:val="Standard"/>
    <w:link w:val="SprechblasentextZchn"/>
    <w:uiPriority w:val="99"/>
    <w:semiHidden/>
    <w:unhideWhenUsed/>
    <w:rsid w:val="000448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4844"/>
    <w:rPr>
      <w:rFonts w:ascii="Tahoma" w:hAnsi="Tahoma" w:cs="Tahoma"/>
      <w:sz w:val="16"/>
      <w:szCs w:val="16"/>
    </w:rPr>
  </w:style>
  <w:style w:type="paragraph" w:customStyle="1" w:styleId="Default">
    <w:name w:val="Default"/>
    <w:rsid w:val="0092065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179E6"/>
    <w:rPr>
      <w:color w:val="0000FF" w:themeColor="hyperlink"/>
      <w:u w:val="single"/>
    </w:rPr>
  </w:style>
  <w:style w:type="character" w:customStyle="1" w:styleId="58cl">
    <w:name w:val="_58cl"/>
    <w:basedOn w:val="Absatz-Standardschriftart"/>
    <w:rsid w:val="0075575F"/>
  </w:style>
  <w:style w:type="character" w:customStyle="1" w:styleId="58cm">
    <w:name w:val="_58cm"/>
    <w:basedOn w:val="Absatz-Standardschriftart"/>
    <w:rsid w:val="0075575F"/>
  </w:style>
  <w:style w:type="character" w:customStyle="1" w:styleId="textexposedshow">
    <w:name w:val="text_exposed_show"/>
    <w:basedOn w:val="Absatz-Standardschriftart"/>
    <w:rsid w:val="0075575F"/>
  </w:style>
  <w:style w:type="paragraph" w:styleId="StandardWeb">
    <w:name w:val="Normal (Web)"/>
    <w:basedOn w:val="Standard"/>
    <w:uiPriority w:val="99"/>
    <w:unhideWhenUsed/>
    <w:rsid w:val="003B4CE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B4CE2"/>
    <w:rPr>
      <w:b/>
      <w:bCs/>
    </w:rPr>
  </w:style>
  <w:style w:type="character" w:customStyle="1" w:styleId="nc684nl6">
    <w:name w:val="nc684nl6"/>
    <w:basedOn w:val="Absatz-Standardschriftart"/>
    <w:rsid w:val="0006391B"/>
  </w:style>
  <w:style w:type="character" w:styleId="Kommentarzeichen">
    <w:name w:val="annotation reference"/>
    <w:basedOn w:val="Absatz-Standardschriftart"/>
    <w:uiPriority w:val="99"/>
    <w:semiHidden/>
    <w:unhideWhenUsed/>
    <w:rsid w:val="001A4B88"/>
    <w:rPr>
      <w:sz w:val="16"/>
      <w:szCs w:val="16"/>
    </w:rPr>
  </w:style>
  <w:style w:type="paragraph" w:styleId="Kommentartext">
    <w:name w:val="annotation text"/>
    <w:basedOn w:val="Standard"/>
    <w:link w:val="KommentartextZchn"/>
    <w:uiPriority w:val="99"/>
    <w:unhideWhenUsed/>
    <w:rsid w:val="001A4B88"/>
    <w:pPr>
      <w:spacing w:line="240" w:lineRule="auto"/>
    </w:pPr>
    <w:rPr>
      <w:sz w:val="20"/>
      <w:szCs w:val="20"/>
    </w:rPr>
  </w:style>
  <w:style w:type="character" w:customStyle="1" w:styleId="KommentartextZchn">
    <w:name w:val="Kommentartext Zchn"/>
    <w:basedOn w:val="Absatz-Standardschriftart"/>
    <w:link w:val="Kommentartext"/>
    <w:uiPriority w:val="99"/>
    <w:rsid w:val="001A4B88"/>
    <w:rPr>
      <w:sz w:val="20"/>
      <w:szCs w:val="20"/>
    </w:rPr>
  </w:style>
  <w:style w:type="paragraph" w:styleId="Kommentarthema">
    <w:name w:val="annotation subject"/>
    <w:basedOn w:val="Kommentartext"/>
    <w:next w:val="Kommentartext"/>
    <w:link w:val="KommentarthemaZchn"/>
    <w:uiPriority w:val="99"/>
    <w:semiHidden/>
    <w:unhideWhenUsed/>
    <w:rsid w:val="001A4B88"/>
    <w:rPr>
      <w:b/>
      <w:bCs/>
    </w:rPr>
  </w:style>
  <w:style w:type="character" w:customStyle="1" w:styleId="KommentarthemaZchn">
    <w:name w:val="Kommentarthema Zchn"/>
    <w:basedOn w:val="KommentartextZchn"/>
    <w:link w:val="Kommentarthema"/>
    <w:uiPriority w:val="99"/>
    <w:semiHidden/>
    <w:rsid w:val="001A4B88"/>
    <w:rPr>
      <w:b/>
      <w:bCs/>
      <w:sz w:val="20"/>
      <w:szCs w:val="20"/>
    </w:rPr>
  </w:style>
  <w:style w:type="character" w:styleId="Hervorhebung">
    <w:name w:val="Emphasis"/>
    <w:basedOn w:val="Absatz-Standardschriftart"/>
    <w:uiPriority w:val="20"/>
    <w:qFormat/>
    <w:rsid w:val="00634F90"/>
    <w:rPr>
      <w:i/>
      <w:iCs/>
    </w:rPr>
  </w:style>
  <w:style w:type="paragraph" w:styleId="Beschriftung">
    <w:name w:val="caption"/>
    <w:basedOn w:val="Standard"/>
    <w:next w:val="Standard"/>
    <w:uiPriority w:val="35"/>
    <w:unhideWhenUsed/>
    <w:qFormat/>
    <w:rsid w:val="00542585"/>
    <w:pPr>
      <w:spacing w:line="240" w:lineRule="auto"/>
    </w:pPr>
    <w:rPr>
      <w:i/>
      <w:iCs/>
      <w:color w:val="1F497D" w:themeColor="text2"/>
      <w:sz w:val="18"/>
      <w:szCs w:val="18"/>
    </w:rPr>
  </w:style>
  <w:style w:type="character" w:styleId="NichtaufgelsteErwhnung">
    <w:name w:val="Unresolved Mention"/>
    <w:basedOn w:val="Absatz-Standardschriftart"/>
    <w:uiPriority w:val="99"/>
    <w:semiHidden/>
    <w:unhideWhenUsed/>
    <w:rsid w:val="00462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7565">
      <w:bodyDiv w:val="1"/>
      <w:marLeft w:val="0"/>
      <w:marRight w:val="0"/>
      <w:marTop w:val="0"/>
      <w:marBottom w:val="0"/>
      <w:divBdr>
        <w:top w:val="none" w:sz="0" w:space="0" w:color="auto"/>
        <w:left w:val="none" w:sz="0" w:space="0" w:color="auto"/>
        <w:bottom w:val="none" w:sz="0" w:space="0" w:color="auto"/>
        <w:right w:val="none" w:sz="0" w:space="0" w:color="auto"/>
      </w:divBdr>
    </w:div>
    <w:div w:id="1146969873">
      <w:bodyDiv w:val="1"/>
      <w:marLeft w:val="0"/>
      <w:marRight w:val="0"/>
      <w:marTop w:val="0"/>
      <w:marBottom w:val="0"/>
      <w:divBdr>
        <w:top w:val="none" w:sz="0" w:space="0" w:color="auto"/>
        <w:left w:val="none" w:sz="0" w:space="0" w:color="auto"/>
        <w:bottom w:val="none" w:sz="0" w:space="0" w:color="auto"/>
        <w:right w:val="none" w:sz="0" w:space="0" w:color="auto"/>
      </w:divBdr>
    </w:div>
    <w:div w:id="1368019622">
      <w:bodyDiv w:val="1"/>
      <w:marLeft w:val="0"/>
      <w:marRight w:val="0"/>
      <w:marTop w:val="0"/>
      <w:marBottom w:val="0"/>
      <w:divBdr>
        <w:top w:val="none" w:sz="0" w:space="0" w:color="auto"/>
        <w:left w:val="none" w:sz="0" w:space="0" w:color="auto"/>
        <w:bottom w:val="none" w:sz="0" w:space="0" w:color="auto"/>
        <w:right w:val="none" w:sz="0" w:space="0" w:color="auto"/>
      </w:divBdr>
    </w:div>
    <w:div w:id="1651400166">
      <w:bodyDiv w:val="1"/>
      <w:marLeft w:val="0"/>
      <w:marRight w:val="0"/>
      <w:marTop w:val="0"/>
      <w:marBottom w:val="0"/>
      <w:divBdr>
        <w:top w:val="none" w:sz="0" w:space="0" w:color="auto"/>
        <w:left w:val="none" w:sz="0" w:space="0" w:color="auto"/>
        <w:bottom w:val="none" w:sz="0" w:space="0" w:color="auto"/>
        <w:right w:val="none" w:sz="0" w:space="0" w:color="auto"/>
      </w:divBdr>
    </w:div>
    <w:div w:id="1844927238">
      <w:bodyDiv w:val="1"/>
      <w:marLeft w:val="0"/>
      <w:marRight w:val="0"/>
      <w:marTop w:val="0"/>
      <w:marBottom w:val="0"/>
      <w:divBdr>
        <w:top w:val="none" w:sz="0" w:space="0" w:color="auto"/>
        <w:left w:val="none" w:sz="0" w:space="0" w:color="auto"/>
        <w:bottom w:val="none" w:sz="0" w:space="0" w:color="auto"/>
        <w:right w:val="none" w:sz="0" w:space="0" w:color="auto"/>
      </w:divBdr>
    </w:div>
    <w:div w:id="187210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tanja.holst@aco.com" TargetMode="External"/><Relationship Id="rId7" Type="http://schemas.openxmlformats.org/officeDocument/2006/relationships/settings" Target="settings.xml"/><Relationship Id="rId12" Type="http://schemas.openxmlformats.org/officeDocument/2006/relationships/hyperlink" Target="http://www.aco.de/ifat"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tel:+49433135417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hyperlink" Target="https://www.instagram.com/aco_gmbh/" TargetMode="External"/><Relationship Id="rId7" Type="http://schemas.openxmlformats.org/officeDocument/2006/relationships/hyperlink" Target="https://www.linkedin.com/company/9254055/" TargetMode="External"/><Relationship Id="rId2" Type="http://schemas.openxmlformats.org/officeDocument/2006/relationships/image" Target="media/image9.jpeg"/><Relationship Id="rId1" Type="http://schemas.openxmlformats.org/officeDocument/2006/relationships/hyperlink" Target="https://www.pinterest.de/aco_group/" TargetMode="External"/><Relationship Id="rId6" Type="http://schemas.openxmlformats.org/officeDocument/2006/relationships/image" Target="media/image11.jpeg"/><Relationship Id="rId5" Type="http://schemas.openxmlformats.org/officeDocument/2006/relationships/hyperlink" Target="https://www.youtube.com/user/ACO" TargetMode="External"/><Relationship Id="rId10" Type="http://schemas.openxmlformats.org/officeDocument/2006/relationships/image" Target="media/image13.jpeg"/><Relationship Id="rId4" Type="http://schemas.openxmlformats.org/officeDocument/2006/relationships/image" Target="media/image10.jpeg"/><Relationship Id="rId9" Type="http://schemas.openxmlformats.org/officeDocument/2006/relationships/hyperlink" Target="https://www.facebook.com/aco.gmb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713BF2190340498494A9A1FF180FE7" ma:contentTypeVersion="14" ma:contentTypeDescription="Create a new document." ma:contentTypeScope="" ma:versionID="46c78b81dc16181786e9167bc5dcd3a4">
  <xsd:schema xmlns:xsd="http://www.w3.org/2001/XMLSchema" xmlns:xs="http://www.w3.org/2001/XMLSchema" xmlns:p="http://schemas.microsoft.com/office/2006/metadata/properties" xmlns:ns3="1dbbf5a9-2a0b-4ada-a975-ebcf54b62960" xmlns:ns4="565f8b1a-46b3-4429-a7c5-210ffb2a9658" targetNamespace="http://schemas.microsoft.com/office/2006/metadata/properties" ma:root="true" ma:fieldsID="085dec1cd8988839265fe042c07be197" ns3:_="" ns4:_="">
    <xsd:import namespace="1dbbf5a9-2a0b-4ada-a975-ebcf54b62960"/>
    <xsd:import namespace="565f8b1a-46b3-4429-a7c5-210ffb2a96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bf5a9-2a0b-4ada-a975-ebcf54b62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5f8b1a-46b3-4429-a7c5-210ffb2a96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49B512-50BD-4E7C-9F70-EBE033DB7D92}">
  <ds:schemaRefs>
    <ds:schemaRef ds:uri="http://schemas.openxmlformats.org/officeDocument/2006/bibliography"/>
  </ds:schemaRefs>
</ds:datastoreItem>
</file>

<file path=customXml/itemProps2.xml><?xml version="1.0" encoding="utf-8"?>
<ds:datastoreItem xmlns:ds="http://schemas.openxmlformats.org/officeDocument/2006/customXml" ds:itemID="{2D51669B-BC45-4E96-BBF6-69D21E71A7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F242B5-E1AD-4C56-BDCD-07040D189CD1}">
  <ds:schemaRefs>
    <ds:schemaRef ds:uri="http://schemas.microsoft.com/sharepoint/v3/contenttype/forms"/>
  </ds:schemaRefs>
</ds:datastoreItem>
</file>

<file path=customXml/itemProps4.xml><?xml version="1.0" encoding="utf-8"?>
<ds:datastoreItem xmlns:ds="http://schemas.openxmlformats.org/officeDocument/2006/customXml" ds:itemID="{B3A2AD56-8CB4-4908-B470-1EE7E4115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bf5a9-2a0b-4ada-a975-ebcf54b62960"/>
    <ds:schemaRef ds:uri="565f8b1a-46b3-4429-a7c5-210ffb2a9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618</Words>
  <Characters>3900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ACO Severin Ahlmann GmbH &amp; Co KG</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Holst, Tanja</cp:lastModifiedBy>
  <cp:revision>81</cp:revision>
  <cp:lastPrinted>2022-06-17T08:55:00Z</cp:lastPrinted>
  <dcterms:created xsi:type="dcterms:W3CDTF">2024-04-14T06:02:00Z</dcterms:created>
  <dcterms:modified xsi:type="dcterms:W3CDTF">2024-04-30T11:11:00Z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0x01010011713BF2190340498494A9A1FF180FE7</vt:lpwstr>
  </property>
  <property fmtid="{D5CDD505-2E9C-101B-9397-08002B2CF9AE}" pid="3" name="MSIP_Label_a02c3a69-5bb1-4896-a591-f45b96dda59d_Enabled">
    <vt:lpwstr>true</vt:lpwstr>
  </property>
  <property fmtid="{D5CDD505-2E9C-101B-9397-08002B2CF9AE}" pid="4" name="MSIP_Label_a02c3a69-5bb1-4896-a591-f45b96dda59d_SetDate">
    <vt:lpwstr>2023-03-02T07:13:28Z</vt:lpwstr>
  </property>
  <property fmtid="{D5CDD505-2E9C-101B-9397-08002B2CF9AE}" pid="5" name="MSIP_Label_a02c3a69-5bb1-4896-a591-f45b96dda59d_Method">
    <vt:lpwstr>Standard</vt:lpwstr>
  </property>
  <property fmtid="{D5CDD505-2E9C-101B-9397-08002B2CF9AE}" pid="6" name="MSIP_Label_a02c3a69-5bb1-4896-a591-f45b96dda59d_Name">
    <vt:lpwstr>Public</vt:lpwstr>
  </property>
  <property fmtid="{D5CDD505-2E9C-101B-9397-08002B2CF9AE}" pid="7" name="MSIP_Label_a02c3a69-5bb1-4896-a591-f45b96dda59d_SiteId">
    <vt:lpwstr>b53f6739-82d2-42c3-8e8d-458bdd89805b</vt:lpwstr>
  </property>
  <property fmtid="{D5CDD505-2E9C-101B-9397-08002B2CF9AE}" pid="8" name="MSIP_Label_a02c3a69-5bb1-4896-a591-f45b96dda59d_ActionId">
    <vt:lpwstr>80c6b7c1-64fb-41a8-b7b9-0c998d865db7</vt:lpwstr>
  </property>
  <property fmtid="{D5CDD505-2E9C-101B-9397-08002B2CF9AE}" pid="9" name="MSIP_Label_a02c3a69-5bb1-4896-a591-f45b96dda59d_ContentBits">
    <vt:lpwstr>0</vt:lpwstr>
  </property>
</Properties>
</file>