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AAF0E" w14:textId="77777777" w:rsidR="00DD6AA3" w:rsidRPr="000B433D" w:rsidRDefault="00DD6AA3" w:rsidP="00DD6AA3">
      <w:pPr>
        <w:pStyle w:val="Default"/>
        <w:spacing w:line="276" w:lineRule="auto"/>
        <w:rPr>
          <w:rFonts w:ascii="Stone Sans II ITC Com Lt" w:hAnsi="Stone Sans II ITC Com Lt"/>
          <w:sz w:val="18"/>
          <w:szCs w:val="18"/>
        </w:rPr>
      </w:pPr>
    </w:p>
    <w:p w14:paraId="0D8AAE51" w14:textId="77777777" w:rsidR="00DD6AA3" w:rsidRPr="000B433D" w:rsidRDefault="00DD6AA3" w:rsidP="00044844">
      <w:pPr>
        <w:autoSpaceDE w:val="0"/>
        <w:autoSpaceDN w:val="0"/>
        <w:adjustRightInd w:val="0"/>
        <w:spacing w:after="0" w:line="240" w:lineRule="auto"/>
        <w:rPr>
          <w:rFonts w:ascii="Stone Sans II ITC Com Lt" w:hAnsi="Stone Sans II ITC Com Lt" w:cs="NewsGothic,Bold"/>
          <w:b/>
          <w:bCs/>
          <w:sz w:val="24"/>
          <w:szCs w:val="24"/>
        </w:rPr>
      </w:pPr>
    </w:p>
    <w:p w14:paraId="1C4E0137" w14:textId="77777777" w:rsidR="00DD6AA3" w:rsidRPr="000B433D" w:rsidRDefault="00182CEE" w:rsidP="00E43F83">
      <w:pPr>
        <w:tabs>
          <w:tab w:val="left" w:pos="5878"/>
        </w:tabs>
        <w:autoSpaceDE w:val="0"/>
        <w:autoSpaceDN w:val="0"/>
        <w:adjustRightInd w:val="0"/>
        <w:spacing w:after="0" w:line="240" w:lineRule="auto"/>
        <w:rPr>
          <w:rFonts w:ascii="Stone Sans II ITC Com Lt" w:hAnsi="Stone Sans II ITC Com Lt" w:cs="NewsGothic,Bold"/>
          <w:b/>
          <w:bCs/>
          <w:sz w:val="24"/>
          <w:szCs w:val="24"/>
        </w:rPr>
      </w:pPr>
      <w:r w:rsidRPr="000B433D">
        <w:rPr>
          <w:rFonts w:ascii="Stone Sans II ITC Com Lt" w:hAnsi="Stone Sans II ITC Com Lt" w:cs="NewsGothic,Bold"/>
          <w:b/>
          <w:bCs/>
          <w:sz w:val="24"/>
          <w:szCs w:val="24"/>
        </w:rPr>
        <w:tab/>
      </w:r>
    </w:p>
    <w:p w14:paraId="77915FC3" w14:textId="77777777" w:rsidR="00044844" w:rsidRPr="000B433D" w:rsidRDefault="00044844" w:rsidP="00044844">
      <w:pPr>
        <w:autoSpaceDE w:val="0"/>
        <w:autoSpaceDN w:val="0"/>
        <w:adjustRightInd w:val="0"/>
        <w:spacing w:after="0" w:line="240" w:lineRule="auto"/>
        <w:rPr>
          <w:rFonts w:ascii="Stone Sans II ITC Com Lt" w:hAnsi="Stone Sans II ITC Com Lt" w:cs="NewsGothic,Bold"/>
          <w:b/>
          <w:bCs/>
          <w:sz w:val="24"/>
          <w:szCs w:val="24"/>
        </w:rPr>
      </w:pPr>
      <w:r w:rsidRPr="000B433D">
        <w:rPr>
          <w:rFonts w:ascii="Stone Sans II ITC Com Lt" w:hAnsi="Stone Sans II ITC Com Lt" w:cs="NewsGothic,Bold"/>
          <w:b/>
          <w:bCs/>
          <w:noProof/>
          <w:sz w:val="24"/>
          <w:szCs w:val="24"/>
          <w:lang w:eastAsia="de-DE"/>
        </w:rPr>
        <w:drawing>
          <wp:anchor distT="0" distB="0" distL="114300" distR="114300" simplePos="0" relativeHeight="251656704" behindDoc="0" locked="0" layoutInCell="1" allowOverlap="1" wp14:anchorId="62234B87" wp14:editId="7F155347">
            <wp:simplePos x="1082040" y="899160"/>
            <wp:positionH relativeFrom="margin">
              <wp:align>right</wp:align>
            </wp:positionH>
            <wp:positionV relativeFrom="margin">
              <wp:align>top</wp:align>
            </wp:positionV>
            <wp:extent cx="828000" cy="82800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O-LOGO 4c.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margin">
              <wp14:pctWidth>0</wp14:pctWidth>
            </wp14:sizeRelH>
            <wp14:sizeRelV relativeFrom="margin">
              <wp14:pctHeight>0</wp14:pctHeight>
            </wp14:sizeRelV>
          </wp:anchor>
        </w:drawing>
      </w:r>
    </w:p>
    <w:p w14:paraId="1F13B24E" w14:textId="77777777" w:rsidR="00044844" w:rsidRPr="000B433D" w:rsidRDefault="00044844" w:rsidP="00044844">
      <w:pPr>
        <w:autoSpaceDE w:val="0"/>
        <w:autoSpaceDN w:val="0"/>
        <w:adjustRightInd w:val="0"/>
        <w:spacing w:after="0" w:line="240" w:lineRule="auto"/>
        <w:rPr>
          <w:rFonts w:ascii="Stone Sans II ITC Com Lt" w:hAnsi="Stone Sans II ITC Com Lt" w:cs="NewsGothic,Bold"/>
          <w:b/>
          <w:bCs/>
          <w:sz w:val="24"/>
          <w:szCs w:val="24"/>
        </w:rPr>
      </w:pPr>
    </w:p>
    <w:p w14:paraId="51AC148E" w14:textId="77777777" w:rsidR="00D869B8" w:rsidRPr="000B433D" w:rsidRDefault="00D869B8" w:rsidP="00AA378D">
      <w:pPr>
        <w:autoSpaceDE w:val="0"/>
        <w:autoSpaceDN w:val="0"/>
        <w:adjustRightInd w:val="0"/>
        <w:spacing w:after="0"/>
        <w:rPr>
          <w:rFonts w:ascii="Stone Sans II ITC Com Lt" w:hAnsi="Stone Sans II ITC Com Lt" w:cs="NewsGothic,Bold"/>
          <w:b/>
          <w:bCs/>
          <w:color w:val="000000" w:themeColor="text1"/>
          <w:sz w:val="24"/>
          <w:szCs w:val="24"/>
        </w:rPr>
      </w:pPr>
    </w:p>
    <w:p w14:paraId="519D6A98" w14:textId="77777777" w:rsidR="00B16ED4" w:rsidRPr="000B433D" w:rsidRDefault="00B16ED4" w:rsidP="00AA378D">
      <w:pPr>
        <w:autoSpaceDE w:val="0"/>
        <w:autoSpaceDN w:val="0"/>
        <w:adjustRightInd w:val="0"/>
        <w:spacing w:after="0"/>
        <w:rPr>
          <w:rFonts w:ascii="Stone Sans II ITC Com Lt" w:hAnsi="Stone Sans II ITC Com Lt" w:cs="NewsGothic,Bold"/>
          <w:b/>
          <w:bCs/>
          <w:color w:val="000000" w:themeColor="text1"/>
          <w:sz w:val="24"/>
          <w:szCs w:val="24"/>
        </w:rPr>
      </w:pPr>
    </w:p>
    <w:p w14:paraId="1F0F2F59" w14:textId="18C81FB0" w:rsidR="00B16ED4" w:rsidRPr="000B433D" w:rsidRDefault="00E53EA6" w:rsidP="00F13F80">
      <w:pPr>
        <w:rPr>
          <w:rFonts w:ascii="Stone Sans II ITC Com Lt" w:hAnsi="Stone Sans II ITC Com Lt" w:cs="Arial"/>
          <w:color w:val="C00000"/>
          <w:sz w:val="34"/>
          <w:szCs w:val="34"/>
        </w:rPr>
      </w:pPr>
      <w:r w:rsidRPr="000B433D">
        <w:rPr>
          <w:rFonts w:ascii="Stone Sans II ITC Com Lt" w:hAnsi="Stone Sans II ITC Com Lt"/>
          <w:color w:val="000000" w:themeColor="text1"/>
          <w:sz w:val="28"/>
          <w:szCs w:val="48"/>
        </w:rPr>
        <w:t>Pressemitteilung</w:t>
      </w:r>
      <w:r w:rsidR="00406A3C" w:rsidRPr="000B433D">
        <w:rPr>
          <w:rFonts w:ascii="Stone Sans II ITC Com Lt" w:hAnsi="Stone Sans II ITC Com Lt"/>
          <w:color w:val="000000" w:themeColor="text1"/>
          <w:sz w:val="28"/>
          <w:szCs w:val="48"/>
        </w:rPr>
        <w:tab/>
      </w:r>
      <w:r w:rsidR="00B16ED4" w:rsidRPr="000B433D">
        <w:rPr>
          <w:rFonts w:ascii="Stone Sans II ITC Com Lt" w:hAnsi="Stone Sans II ITC Com Lt"/>
          <w:color w:val="C00000"/>
          <w:sz w:val="36"/>
          <w:szCs w:val="28"/>
        </w:rPr>
        <w:br/>
      </w:r>
    </w:p>
    <w:p w14:paraId="2553FF34" w14:textId="68762DCE" w:rsidR="00F05BFD" w:rsidRDefault="00E43F83" w:rsidP="00D01A91">
      <w:pPr>
        <w:spacing w:line="360" w:lineRule="auto"/>
        <w:ind w:left="5529"/>
        <w:jc w:val="right"/>
        <w:rPr>
          <w:rFonts w:ascii="Stone Sans II ITC Com Lt" w:hAnsi="Stone Sans II ITC Com Lt" w:cs="Arial"/>
          <w:color w:val="000000" w:themeColor="text1"/>
          <w:sz w:val="20"/>
        </w:rPr>
      </w:pPr>
      <w:r w:rsidRPr="000B433D">
        <w:rPr>
          <w:rFonts w:ascii="Stone Sans II ITC Com Lt" w:hAnsi="Stone Sans II ITC Com Lt" w:cs="Arial"/>
          <w:color w:val="000000" w:themeColor="text1"/>
          <w:sz w:val="20"/>
        </w:rPr>
        <w:t>Büdelsdorf</w:t>
      </w:r>
      <w:r w:rsidR="00D0325C">
        <w:rPr>
          <w:rFonts w:ascii="Stone Sans II ITC Com Lt" w:hAnsi="Stone Sans II ITC Com Lt" w:cs="Arial"/>
          <w:color w:val="000000" w:themeColor="text1"/>
          <w:sz w:val="20"/>
        </w:rPr>
        <w:t xml:space="preserve">, </w:t>
      </w:r>
      <w:r w:rsidR="007D3B6D">
        <w:rPr>
          <w:rFonts w:ascii="Stone Sans II ITC Com Lt" w:hAnsi="Stone Sans II ITC Com Lt" w:cs="Arial"/>
          <w:color w:val="000000" w:themeColor="text1"/>
          <w:sz w:val="20"/>
        </w:rPr>
        <w:t>08.01.2024</w:t>
      </w:r>
    </w:p>
    <w:p w14:paraId="589294EA" w14:textId="4B8B81B1" w:rsidR="00E31624" w:rsidRDefault="00E31624" w:rsidP="00E31624">
      <w:pPr>
        <w:pStyle w:val="Default"/>
        <w:spacing w:line="360" w:lineRule="auto"/>
        <w:rPr>
          <w:rFonts w:ascii="Stone Sans II ITC Com Bk" w:hAnsi="Stone Sans II ITC Com Bk"/>
          <w:b/>
          <w:bCs/>
        </w:rPr>
      </w:pPr>
      <w:r w:rsidRPr="00E31624">
        <w:rPr>
          <w:rFonts w:ascii="Stone Sans II ITC Com Bk" w:hAnsi="Stone Sans II ITC Com Bk"/>
          <w:b/>
          <w:bCs/>
        </w:rPr>
        <w:t>Kompakt und nachhaltig sicher:</w:t>
      </w:r>
      <w:r w:rsidRPr="00E31624">
        <w:rPr>
          <w:rFonts w:ascii="Stone Sans II ITC Com Bk" w:hAnsi="Stone Sans II ITC Com Bk"/>
          <w:b/>
          <w:bCs/>
        </w:rPr>
        <w:t xml:space="preserve"> </w:t>
      </w:r>
      <w:r w:rsidRPr="00E31624">
        <w:rPr>
          <w:rFonts w:ascii="Stone Sans II ITC Com Bk" w:hAnsi="Stone Sans II ITC Com Bk"/>
          <w:b/>
          <w:bCs/>
        </w:rPr>
        <w:t>Abscheideranlage mit Rückstauschutz</w:t>
      </w:r>
    </w:p>
    <w:p w14:paraId="78EBF143" w14:textId="2376D7DE" w:rsidR="00364D41" w:rsidRPr="00364D41" w:rsidRDefault="00364D41" w:rsidP="00E31624">
      <w:pPr>
        <w:pStyle w:val="Default"/>
        <w:spacing w:line="360" w:lineRule="auto"/>
        <w:rPr>
          <w:rFonts w:ascii="Stone Sans II ITC Com Bk" w:hAnsi="Stone Sans II ITC Com Bk"/>
          <w:i/>
          <w:iCs/>
        </w:rPr>
      </w:pPr>
      <w:r w:rsidRPr="00364D41">
        <w:rPr>
          <w:rFonts w:ascii="Stone Sans II ITC Com Bk" w:hAnsi="Stone Sans II ITC Com Bk"/>
          <w:i/>
          <w:iCs/>
        </w:rPr>
        <w:t xml:space="preserve">Der ACO Oleolift-C </w:t>
      </w:r>
      <w:r w:rsidR="00EE50DB">
        <w:rPr>
          <w:rFonts w:ascii="Stone Sans II ITC Com Bk" w:hAnsi="Stone Sans II ITC Com Bk"/>
          <w:i/>
          <w:iCs/>
        </w:rPr>
        <w:t xml:space="preserve">bietet viel Nutzen auf engstem Raum </w:t>
      </w:r>
    </w:p>
    <w:p w14:paraId="610041BF" w14:textId="77777777" w:rsidR="00E31624" w:rsidRPr="00E31624" w:rsidRDefault="00E31624" w:rsidP="00E31624">
      <w:pPr>
        <w:pStyle w:val="Default"/>
        <w:spacing w:line="360" w:lineRule="auto"/>
        <w:rPr>
          <w:rFonts w:ascii="Stone Sans II ITC Com Bk" w:hAnsi="Stone Sans II ITC Com Bk"/>
        </w:rPr>
      </w:pPr>
    </w:p>
    <w:p w14:paraId="7E10BE05" w14:textId="28DB949B" w:rsidR="00E31624" w:rsidRDefault="00E31624" w:rsidP="00E31624">
      <w:pPr>
        <w:pStyle w:val="Default"/>
        <w:spacing w:line="360" w:lineRule="auto"/>
        <w:rPr>
          <w:rFonts w:ascii="Stone Sans II ITC Com Bk" w:hAnsi="Stone Sans II ITC Com Bk"/>
        </w:rPr>
      </w:pPr>
      <w:r w:rsidRPr="00E31624">
        <w:rPr>
          <w:rFonts w:ascii="Stone Sans II ITC Com Bk" w:hAnsi="Stone Sans II ITC Com Bk"/>
        </w:rPr>
        <w:t xml:space="preserve">Eine Kombination aus Funktionalität und Sicherheit stellt </w:t>
      </w:r>
      <w:r w:rsidR="00AC7600">
        <w:rPr>
          <w:rFonts w:ascii="Stone Sans II ITC Com Bk" w:hAnsi="Stone Sans II ITC Com Bk"/>
        </w:rPr>
        <w:t>die</w:t>
      </w:r>
      <w:r w:rsidRPr="00E31624">
        <w:rPr>
          <w:rFonts w:ascii="Stone Sans II ITC Com Bk" w:hAnsi="Stone Sans II ITC Com Bk"/>
        </w:rPr>
        <w:t xml:space="preserve"> Kompaktanlage im Bereich der Abscheider für Leichtflüssigkeiten mit dem ACO Oleolift-C dar. Die normgerechte Generation auf engstem Raum bietet zusätzlichen Nutzen für Bauunternehmer, Betreiber und Planer. Innerhalb der Anlage befinden sich Abscheider und Pumpstation in getrennten Kammern. Die Sicherheit gegenüber Rückstau wird mittels Pumpe und Rückstauschleife gewährleistet, während Flüssigkeiten im Abscheidebereich getrennt werden.</w:t>
      </w:r>
    </w:p>
    <w:p w14:paraId="43D9802A" w14:textId="77777777" w:rsidR="00E31624" w:rsidRPr="00E31624" w:rsidRDefault="00E31624" w:rsidP="00E31624">
      <w:pPr>
        <w:pStyle w:val="Default"/>
        <w:spacing w:line="360" w:lineRule="auto"/>
        <w:rPr>
          <w:rFonts w:ascii="Stone Sans II ITC Com Bk" w:hAnsi="Stone Sans II ITC Com Bk"/>
        </w:rPr>
      </w:pPr>
    </w:p>
    <w:p w14:paraId="6356AE7D" w14:textId="77777777" w:rsidR="00E31624" w:rsidRPr="00E31624" w:rsidRDefault="00E31624" w:rsidP="00E31624">
      <w:pPr>
        <w:pStyle w:val="Default"/>
        <w:spacing w:line="360" w:lineRule="auto"/>
        <w:rPr>
          <w:rFonts w:ascii="Stone Sans II ITC Com Bk" w:hAnsi="Stone Sans II ITC Com Bk"/>
          <w:b/>
          <w:bCs/>
        </w:rPr>
      </w:pPr>
      <w:r w:rsidRPr="00E31624">
        <w:rPr>
          <w:rFonts w:ascii="Stone Sans II ITC Com Bk" w:hAnsi="Stone Sans II ITC Com Bk"/>
          <w:b/>
          <w:bCs/>
        </w:rPr>
        <w:t>Kompakt spart Bauraum</w:t>
      </w:r>
    </w:p>
    <w:p w14:paraId="1B9520E3" w14:textId="4694349C" w:rsidR="0054235E" w:rsidRDefault="00E31624" w:rsidP="00E31624">
      <w:pPr>
        <w:pStyle w:val="Default"/>
        <w:spacing w:line="360" w:lineRule="auto"/>
        <w:rPr>
          <w:rFonts w:ascii="Stone Sans II ITC Com Bk" w:hAnsi="Stone Sans II ITC Com Bk"/>
        </w:rPr>
      </w:pPr>
      <w:r w:rsidRPr="00E31624">
        <w:rPr>
          <w:rFonts w:ascii="Stone Sans II ITC Com Bk" w:hAnsi="Stone Sans II ITC Com Bk"/>
        </w:rPr>
        <w:t xml:space="preserve">Mit der kompakten Bauweise wird Bauraum optimal genutzt, Aushub und Verrohrung verringert. Besonders in Zeiten der zunehmenden Urbanisierung und Versiegelung gewinnt der unterirdische Bauraum immer mehr an Bedeutung. Statt der marktüblichen Ausführung stellen die ACO Kompaktanlagen eine Kombination der Funktionen Abscheider, Schlammfang, Probenahmesstelle, Pumpstation und Rückstauschutz in Einem als logische Entwicklung der Abscheider dar. Es werden nur ein Behälter und ein Aufbau benötigt - vorher waren es vier. Somit muss lediglich die Zulaufleitung zur Kompaktanlage und der Druckleitungsabgang der Pumpstation angeschlossen werden. Risikostellen, welche durch eine Zwischenverrohrung der </w:t>
      </w:r>
      <w:r w:rsidRPr="00E31624">
        <w:rPr>
          <w:rFonts w:ascii="Stone Sans II ITC Com Bk" w:hAnsi="Stone Sans II ITC Com Bk"/>
        </w:rPr>
        <w:lastRenderedPageBreak/>
        <w:t>Einzelkomponenten bedingt sind, entfallen gänzlich. Folglich ist die Ausführungssicherheit höher, jedoch Zeit sowie Kosten bei Planung und Bauausführung entschieden geringer.</w:t>
      </w:r>
    </w:p>
    <w:p w14:paraId="7786E631" w14:textId="77777777" w:rsidR="003576FB" w:rsidRDefault="003576FB" w:rsidP="00E31624">
      <w:pPr>
        <w:pStyle w:val="Default"/>
        <w:spacing w:line="360" w:lineRule="auto"/>
        <w:rPr>
          <w:rFonts w:ascii="Stone Sans II ITC Com Bk" w:hAnsi="Stone Sans II ITC Com Bk"/>
        </w:rPr>
      </w:pPr>
    </w:p>
    <w:p w14:paraId="291EF907" w14:textId="77777777" w:rsidR="0054235E" w:rsidRPr="00E31624" w:rsidRDefault="0054235E" w:rsidP="0054235E">
      <w:pPr>
        <w:pStyle w:val="Default"/>
        <w:spacing w:line="360" w:lineRule="auto"/>
        <w:rPr>
          <w:rFonts w:ascii="Stone Sans II ITC Com Bk" w:hAnsi="Stone Sans II ITC Com Bk"/>
          <w:b/>
          <w:bCs/>
        </w:rPr>
      </w:pPr>
      <w:r w:rsidRPr="00E31624">
        <w:rPr>
          <w:rFonts w:ascii="Stone Sans II ITC Com Bk" w:hAnsi="Stone Sans II ITC Com Bk"/>
          <w:b/>
          <w:bCs/>
        </w:rPr>
        <w:t>Rückstauebene – Das Maß aller Dinge</w:t>
      </w:r>
    </w:p>
    <w:p w14:paraId="2444383E" w14:textId="77777777" w:rsidR="0054235E" w:rsidRPr="00E31624" w:rsidRDefault="0054235E" w:rsidP="0054235E">
      <w:pPr>
        <w:pStyle w:val="Default"/>
        <w:spacing w:line="360" w:lineRule="auto"/>
        <w:rPr>
          <w:rFonts w:ascii="Stone Sans II ITC Com Bk" w:hAnsi="Stone Sans II ITC Com Bk"/>
        </w:rPr>
      </w:pPr>
      <w:r w:rsidRPr="00E31624">
        <w:rPr>
          <w:rFonts w:ascii="Stone Sans II ITC Com Bk" w:hAnsi="Stone Sans II ITC Com Bk"/>
        </w:rPr>
        <w:t>Die „Rückstauebene“ ist der höchstmögliche zulässige Stand des Abwassers an allen Stellen</w:t>
      </w:r>
      <w:r>
        <w:rPr>
          <w:rFonts w:ascii="Stone Sans II ITC Com Bk" w:hAnsi="Stone Sans II ITC Com Bk"/>
        </w:rPr>
        <w:t xml:space="preserve"> </w:t>
      </w:r>
      <w:r w:rsidRPr="00E31624">
        <w:rPr>
          <w:rFonts w:ascii="Stone Sans II ITC Com Bk" w:hAnsi="Stone Sans II ITC Com Bk"/>
        </w:rPr>
        <w:t>einer Straße. Sie hilft zu beurteilen, welche Schutzmaßnahmen getroffen werden müssen.</w:t>
      </w:r>
      <w:r>
        <w:rPr>
          <w:rFonts w:ascii="Stone Sans II ITC Com Bk" w:hAnsi="Stone Sans II ITC Com Bk"/>
        </w:rPr>
        <w:t xml:space="preserve"> </w:t>
      </w:r>
      <w:r w:rsidRPr="00E31624">
        <w:rPr>
          <w:rFonts w:ascii="Stone Sans II ITC Com Bk" w:hAnsi="Stone Sans II ITC Com Bk"/>
        </w:rPr>
        <w:t>Örtliche Behörden legen diese Ebene in der Abwassersatzung fest und diese muss bei der</w:t>
      </w:r>
      <w:r>
        <w:rPr>
          <w:rFonts w:ascii="Stone Sans II ITC Com Bk" w:hAnsi="Stone Sans II ITC Com Bk"/>
        </w:rPr>
        <w:t xml:space="preserve"> </w:t>
      </w:r>
      <w:r w:rsidRPr="00E31624">
        <w:rPr>
          <w:rFonts w:ascii="Stone Sans II ITC Com Bk" w:hAnsi="Stone Sans II ITC Com Bk"/>
        </w:rPr>
        <w:t>Planung von Gebäuden berücksichtig werden. Als grober Richtwert gilt die</w:t>
      </w:r>
      <w:r>
        <w:rPr>
          <w:rFonts w:ascii="Stone Sans II ITC Com Bk" w:hAnsi="Stone Sans II ITC Com Bk"/>
        </w:rPr>
        <w:t xml:space="preserve"> </w:t>
      </w:r>
      <w:r w:rsidRPr="00E31624">
        <w:rPr>
          <w:rFonts w:ascii="Stone Sans II ITC Com Bk" w:hAnsi="Stone Sans II ITC Com Bk"/>
        </w:rPr>
        <w:t>Straßenoberkante. Bis zu jener Linie müssen sich Eigentümer, oder Fachplaner, mittels</w:t>
      </w:r>
      <w:r>
        <w:rPr>
          <w:rFonts w:ascii="Stone Sans II ITC Com Bk" w:hAnsi="Stone Sans II ITC Com Bk"/>
        </w:rPr>
        <w:t xml:space="preserve"> </w:t>
      </w:r>
      <w:r w:rsidRPr="00E31624">
        <w:rPr>
          <w:rFonts w:ascii="Stone Sans II ITC Com Bk" w:hAnsi="Stone Sans II ITC Com Bk"/>
        </w:rPr>
        <w:t>geeigneter Maßnahmen gegen Rückstau sichern.</w:t>
      </w:r>
      <w:r>
        <w:rPr>
          <w:rFonts w:ascii="Stone Sans II ITC Com Bk" w:hAnsi="Stone Sans II ITC Com Bk"/>
        </w:rPr>
        <w:t xml:space="preserve"> </w:t>
      </w:r>
      <w:r w:rsidRPr="00E31624">
        <w:rPr>
          <w:rFonts w:ascii="Stone Sans II ITC Com Bk" w:hAnsi="Stone Sans II ITC Com Bk"/>
        </w:rPr>
        <w:t>Bei gewerblichen Anwendungen wie beispielsweise Tankstellen, Waschplätze, etc., die mit</w:t>
      </w:r>
    </w:p>
    <w:p w14:paraId="682E6CED" w14:textId="77777777" w:rsidR="0054235E" w:rsidRDefault="0054235E" w:rsidP="0054235E">
      <w:pPr>
        <w:pStyle w:val="Default"/>
        <w:spacing w:line="360" w:lineRule="auto"/>
        <w:rPr>
          <w:rFonts w:ascii="Stone Sans II ITC Com Bk" w:hAnsi="Stone Sans II ITC Com Bk"/>
        </w:rPr>
      </w:pPr>
      <w:r w:rsidRPr="00E31624">
        <w:rPr>
          <w:rFonts w:ascii="Stone Sans II ITC Com Bk" w:hAnsi="Stone Sans II ITC Com Bk"/>
        </w:rPr>
        <w:t>Leichtflüssigkeitsabscheidern Abwässer reinigen, müssen zusätzliche Schutzmaßnahmen</w:t>
      </w:r>
      <w:r>
        <w:rPr>
          <w:rFonts w:ascii="Stone Sans II ITC Com Bk" w:hAnsi="Stone Sans II ITC Com Bk"/>
        </w:rPr>
        <w:t xml:space="preserve"> </w:t>
      </w:r>
      <w:r w:rsidRPr="00E31624">
        <w:rPr>
          <w:rFonts w:ascii="Stone Sans II ITC Com Bk" w:hAnsi="Stone Sans II ITC Com Bk"/>
        </w:rPr>
        <w:t>geprüft werden. Im Rückstaufall muss ein Austreten der abgeschiedenen Leichtflüssigkeit</w:t>
      </w:r>
      <w:r>
        <w:rPr>
          <w:rFonts w:ascii="Stone Sans II ITC Com Bk" w:hAnsi="Stone Sans II ITC Com Bk"/>
        </w:rPr>
        <w:t xml:space="preserve"> </w:t>
      </w:r>
      <w:r w:rsidRPr="00E31624">
        <w:rPr>
          <w:rFonts w:ascii="Stone Sans II ITC Com Bk" w:hAnsi="Stone Sans II ITC Com Bk"/>
        </w:rPr>
        <w:t>über den Zulauf oder den Deckel des Abscheiders verhindert werden. Sie kontaminieren das</w:t>
      </w:r>
      <w:r>
        <w:rPr>
          <w:rFonts w:ascii="Stone Sans II ITC Com Bk" w:hAnsi="Stone Sans II ITC Com Bk"/>
        </w:rPr>
        <w:t xml:space="preserve"> </w:t>
      </w:r>
      <w:r w:rsidRPr="00E31624">
        <w:rPr>
          <w:rFonts w:ascii="Stone Sans II ITC Com Bk" w:hAnsi="Stone Sans II ITC Com Bk"/>
        </w:rPr>
        <w:t>umliegende Erdreich, das im Nachgang des Rückstauereignisses kostenintensiv abgetragen,</w:t>
      </w:r>
      <w:r>
        <w:rPr>
          <w:rFonts w:ascii="Stone Sans II ITC Com Bk" w:hAnsi="Stone Sans II ITC Com Bk"/>
        </w:rPr>
        <w:t xml:space="preserve"> </w:t>
      </w:r>
      <w:r w:rsidRPr="00E31624">
        <w:rPr>
          <w:rFonts w:ascii="Stone Sans II ITC Com Bk" w:hAnsi="Stone Sans II ITC Com Bk"/>
        </w:rPr>
        <w:t>aufgefüllt und entsorgt werden muss. Auch normativ wird dieser Umstand in der DIN 1999-100 berücksichtigt.</w:t>
      </w:r>
    </w:p>
    <w:p w14:paraId="14783C6E" w14:textId="77777777" w:rsidR="003576FB" w:rsidRDefault="003576FB" w:rsidP="00E31624">
      <w:pPr>
        <w:pStyle w:val="Default"/>
        <w:spacing w:line="360" w:lineRule="auto"/>
        <w:rPr>
          <w:rFonts w:ascii="Stone Sans II ITC Com Bk" w:hAnsi="Stone Sans II ITC Com Bk"/>
        </w:rPr>
      </w:pPr>
    </w:p>
    <w:p w14:paraId="7987B600" w14:textId="2B5FC794" w:rsidR="00E31624" w:rsidRPr="00E31624" w:rsidRDefault="00E31624" w:rsidP="00E31624">
      <w:pPr>
        <w:pStyle w:val="Default"/>
        <w:spacing w:line="360" w:lineRule="auto"/>
        <w:rPr>
          <w:rFonts w:ascii="Stone Sans II ITC Com Bk" w:hAnsi="Stone Sans II ITC Com Bk"/>
        </w:rPr>
      </w:pPr>
      <w:r w:rsidRPr="00E31624">
        <w:rPr>
          <w:rFonts w:ascii="Stone Sans II ITC Com Bk" w:hAnsi="Stone Sans II ITC Com Bk"/>
        </w:rPr>
        <w:t xml:space="preserve">Weitere Informationen unter: </w:t>
      </w:r>
      <w:hyperlink r:id="rId12" w:history="1">
        <w:r w:rsidR="00A62F67" w:rsidRPr="005C30E7">
          <w:rPr>
            <w:rStyle w:val="Hyperlink"/>
            <w:rFonts w:ascii="Stone Sans II ITC Com Bk" w:hAnsi="Stone Sans II ITC Com Bk"/>
          </w:rPr>
          <w:t>www.aco.de/kompaktanlagen</w:t>
        </w:r>
      </w:hyperlink>
      <w:r w:rsidR="00A62F67">
        <w:rPr>
          <w:rFonts w:ascii="Stone Sans II ITC Com Bk" w:hAnsi="Stone Sans II ITC Com Bk"/>
        </w:rPr>
        <w:t xml:space="preserve"> </w:t>
      </w:r>
    </w:p>
    <w:p w14:paraId="284CCFCC" w14:textId="77777777" w:rsidR="00104E36" w:rsidRDefault="00104E36" w:rsidP="00E31624">
      <w:pPr>
        <w:pStyle w:val="Default"/>
        <w:spacing w:line="360" w:lineRule="auto"/>
        <w:rPr>
          <w:rFonts w:ascii="Stone Sans II ITC Com Bk" w:hAnsi="Stone Sans II ITC Com Bk"/>
        </w:rPr>
      </w:pPr>
    </w:p>
    <w:p w14:paraId="40FC2231" w14:textId="46D60C79" w:rsidR="00E31624" w:rsidRDefault="003576FB" w:rsidP="00E31624">
      <w:pPr>
        <w:pStyle w:val="Default"/>
        <w:spacing w:line="360" w:lineRule="auto"/>
        <w:rPr>
          <w:rFonts w:ascii="Stone Sans II ITC Com Bk" w:hAnsi="Stone Sans II ITC Com Bk"/>
        </w:rPr>
      </w:pPr>
      <w:r>
        <w:rPr>
          <w:rFonts w:ascii="Stone Sans II ITC Com Lt" w:hAnsi="Stone Sans II ITC Com Lt"/>
          <w:iCs/>
          <w:noProof/>
          <w:sz w:val="20"/>
          <w:szCs w:val="20"/>
        </w:rPr>
        <mc:AlternateContent>
          <mc:Choice Requires="wps">
            <w:drawing>
              <wp:anchor distT="0" distB="0" distL="114300" distR="114300" simplePos="0" relativeHeight="251659264" behindDoc="0" locked="0" layoutInCell="1" allowOverlap="1" wp14:anchorId="41B1D0AC" wp14:editId="1CA948D0">
                <wp:simplePos x="0" y="0"/>
                <wp:positionH relativeFrom="page">
                  <wp:align>center</wp:align>
                </wp:positionH>
                <wp:positionV relativeFrom="paragraph">
                  <wp:posOffset>307340</wp:posOffset>
                </wp:positionV>
                <wp:extent cx="5889326" cy="2419350"/>
                <wp:effectExtent l="0" t="0" r="16510" b="19050"/>
                <wp:wrapNone/>
                <wp:docPr id="16" name="Textfeld 16"/>
                <wp:cNvGraphicFramePr/>
                <a:graphic xmlns:a="http://schemas.openxmlformats.org/drawingml/2006/main">
                  <a:graphicData uri="http://schemas.microsoft.com/office/word/2010/wordprocessingShape">
                    <wps:wsp>
                      <wps:cNvSpPr txBox="1"/>
                      <wps:spPr>
                        <a:xfrm>
                          <a:off x="0" y="0"/>
                          <a:ext cx="5889326" cy="2419350"/>
                        </a:xfrm>
                        <a:prstGeom prst="rect">
                          <a:avLst/>
                        </a:prstGeom>
                        <a:solidFill>
                          <a:schemeClr val="lt1"/>
                        </a:solidFill>
                        <a:ln w="6350">
                          <a:solidFill>
                            <a:srgbClr val="0070C0"/>
                          </a:solidFill>
                        </a:ln>
                      </wps:spPr>
                      <wps:txbx>
                        <w:txbxContent>
                          <w:p w14:paraId="7A6605BF" w14:textId="50A9FEF0" w:rsidR="00DE4604" w:rsidRPr="00BD54FA" w:rsidRDefault="00DE4604" w:rsidP="00DE4604">
                            <w:pPr>
                              <w:rPr>
                                <w:rFonts w:ascii="Stone Sans II ITC Com Lt" w:hAnsi="Stone Sans II ITC Com Lt"/>
                                <w:iCs/>
                                <w:sz w:val="20"/>
                                <w:szCs w:val="20"/>
                              </w:rPr>
                            </w:pPr>
                            <w:r w:rsidRPr="00BD54FA">
                              <w:rPr>
                                <w:rFonts w:ascii="Stone Sans II ITC Com Lt" w:hAnsi="Stone Sans II ITC Com Lt"/>
                                <w:b/>
                                <w:bCs/>
                                <w:iCs/>
                                <w:sz w:val="20"/>
                                <w:szCs w:val="20"/>
                              </w:rPr>
                              <w:t>Die ACO GmbH</w:t>
                            </w:r>
                            <w:r>
                              <w:rPr>
                                <w:rFonts w:ascii="Stone Sans II ITC Com Lt" w:hAnsi="Stone Sans II ITC Com Lt"/>
                                <w:iCs/>
                                <w:sz w:val="20"/>
                                <w:szCs w:val="20"/>
                              </w:rPr>
                              <w:br/>
                            </w:r>
                            <w:r w:rsidR="00472784" w:rsidRPr="00472784">
                              <w:rPr>
                                <w:rFonts w:ascii="Stone Sans II ITC Com Lt" w:hAnsi="Stone Sans II ITC Com Lt"/>
                                <w:iCs/>
                                <w:sz w:val="20"/>
                                <w:szCs w:val="20"/>
                              </w:rPr>
                              <w:t>Als Teil der weltweiten ACO Gruppe gehört die ACO GmbH zu den führenden Anbietern ganzheitlicher Systemlösungen rund um die klimaresiliente Freiraum-, Infrastruktur- und Gebäudeplanung. Das Unternehmen ist im Jahr 2023 durch den Zusammenschluss der ACO-Geschäftsbereiche Tiefbau und Hochbau entstanden und baut auf vertrauensvolle Partnerschaften mit dem Handel, Architekten und Planern sowie dem Handwerk. Der nachhaltige Umgang mit der wertvollen Ressource Wasser, verdeutlicht durch den Claim „ACO. we care for water“, steht im Mittelpunkt aller Unternehmensaktivitäten. Mit dem ACO WaterCycle bietet das Unternehmen ein breites Spektrum an Systemlösungen, um Oberflächenwasser oder Abwasser zu sammeln, aufzubereiten, zurückzuhalten und wieder zur Verfügung zu stellen. Darüber hinaus berät und unterstützt ein starkes Außen- und Innendienstteam alle Objektbeteiligten in jeder Projektphase.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B1D0AC" id="_x0000_t202" coordsize="21600,21600" o:spt="202" path="m,l,21600r21600,l21600,xe">
                <v:stroke joinstyle="miter"/>
                <v:path gradientshapeok="t" o:connecttype="rect"/>
              </v:shapetype>
              <v:shape id="Textfeld 16" o:spid="_x0000_s1026" type="#_x0000_t202" style="position:absolute;margin-left:0;margin-top:24.2pt;width:463.75pt;height:190.5pt;z-index:25165926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" fillcolor="white [3201]" strokecolor="#0070c0" strokeweight=".5pt">
                <v:textbox>
                  <w:txbxContent>
                    <w:p w14:paraId="7A6605BF" w14:textId="50A9FEF0" w:rsidR="00DE4604" w:rsidRPr="00BD54FA" w:rsidRDefault="00DE4604" w:rsidP="00DE4604">
                      <w:pPr>
                        <w:rPr>
                          <w:rFonts w:ascii="Stone Sans II ITC Com Lt" w:hAnsi="Stone Sans II ITC Com Lt"/>
                          <w:iCs/>
                          <w:sz w:val="20"/>
                          <w:szCs w:val="20"/>
                        </w:rPr>
                      </w:pPr>
                      <w:r w:rsidRPr="00BD54FA">
                        <w:rPr>
                          <w:rFonts w:ascii="Stone Sans II ITC Com Lt" w:hAnsi="Stone Sans II ITC Com Lt"/>
                          <w:b/>
                          <w:bCs/>
                          <w:iCs/>
                          <w:sz w:val="20"/>
                          <w:szCs w:val="20"/>
                        </w:rPr>
                        <w:t>Die ACO GmbH</w:t>
                      </w:r>
                      <w:r>
                        <w:rPr>
                          <w:rFonts w:ascii="Stone Sans II ITC Com Lt" w:hAnsi="Stone Sans II ITC Com Lt"/>
                          <w:iCs/>
                          <w:sz w:val="20"/>
                          <w:szCs w:val="20"/>
                        </w:rPr>
                        <w:br/>
                      </w:r>
                      <w:r w:rsidR="00472784" w:rsidRPr="00472784">
                        <w:rPr>
                          <w:rFonts w:ascii="Stone Sans II ITC Com Lt" w:hAnsi="Stone Sans II ITC Com Lt"/>
                          <w:iCs/>
                          <w:sz w:val="20"/>
                          <w:szCs w:val="20"/>
                        </w:rPr>
                        <w:t>Als Teil der weltweiten ACO Gruppe gehört die ACO GmbH zu den führenden Anbietern ganzheitlicher Systemlösungen rund um die klimaresiliente Freiraum-, Infrastruktur- und Gebäudeplanung. Das Unternehmen ist im Jahr 2023 durch den Zusammenschluss der ACO-Geschäftsbereiche Tiefbau und Hochbau entstanden und baut auf vertrauensvolle Partnerschaften mit dem Handel, Architekten und Planern sowie dem Handwerk. Der nachhaltige Umgang mit der wertvollen Ressource Wasser, verdeutlicht durch den Claim „ACO. we care for water“, steht im Mittelpunkt aller Unternehmensaktivitäten. Mit dem ACO WaterCycle bietet das Unternehmen ein breites Spektrum an Systemlösungen, um Oberflächenwasser oder Abwasser zu sammeln, aufzubereiten, zurückzuhalten und wieder zur Verfügung zu stellen. Darüber hinaus berät und unterstützt ein starkes Außen- und Innendienstteam alle Objektbeteiligten in jeder Projektphase.</w:t>
                      </w:r>
                    </w:p>
                  </w:txbxContent>
                </v:textbox>
                <w10:wrap anchorx="page"/>
              </v:shape>
            </w:pict>
          </mc:Fallback>
        </mc:AlternateContent>
      </w:r>
      <w:r w:rsidR="00E31624" w:rsidRPr="00E31624">
        <w:rPr>
          <w:rFonts w:ascii="Stone Sans II ITC Com Bk" w:hAnsi="Stone Sans II ITC Com Bk"/>
        </w:rPr>
        <w:t>(ca. 2.</w:t>
      </w:r>
      <w:r w:rsidR="00620ABE">
        <w:rPr>
          <w:rFonts w:ascii="Stone Sans II ITC Com Bk" w:hAnsi="Stone Sans II ITC Com Bk"/>
        </w:rPr>
        <w:t>559</w:t>
      </w:r>
      <w:r w:rsidR="00E31624" w:rsidRPr="00E31624">
        <w:rPr>
          <w:rFonts w:ascii="Stone Sans II ITC Com Bk" w:hAnsi="Stone Sans II ITC Com Bk"/>
        </w:rPr>
        <w:t xml:space="preserve"> Zeichen)</w:t>
      </w:r>
    </w:p>
    <w:p w14:paraId="6115AA9D" w14:textId="04B3A23E" w:rsidR="00104E36" w:rsidRPr="00E31624" w:rsidRDefault="00104E36" w:rsidP="00E31624">
      <w:pPr>
        <w:pStyle w:val="Default"/>
        <w:spacing w:line="360" w:lineRule="auto"/>
        <w:rPr>
          <w:rFonts w:ascii="Stone Sans II ITC Com Bk" w:hAnsi="Stone Sans II ITC Com Bk"/>
        </w:rPr>
      </w:pPr>
    </w:p>
    <w:p w14:paraId="7085F152" w14:textId="412E9BAC" w:rsidR="00A5514E" w:rsidRDefault="00A5514E" w:rsidP="00F05BFD">
      <w:pPr>
        <w:pStyle w:val="Default"/>
        <w:spacing w:line="360" w:lineRule="auto"/>
        <w:rPr>
          <w:rFonts w:ascii="Stone Sans II ITC Com Lt" w:hAnsi="Stone Sans II ITC Com Lt"/>
          <w:iCs/>
          <w:sz w:val="20"/>
          <w:szCs w:val="20"/>
        </w:rPr>
      </w:pPr>
    </w:p>
    <w:p w14:paraId="17B5CF08" w14:textId="41BEFBA0" w:rsidR="00AD5F9C" w:rsidRDefault="00AD5F9C" w:rsidP="00F05BFD">
      <w:pPr>
        <w:pStyle w:val="Default"/>
        <w:spacing w:line="360" w:lineRule="auto"/>
        <w:rPr>
          <w:rFonts w:ascii="Stone Sans II ITC Com Lt" w:hAnsi="Stone Sans II ITC Com Lt"/>
          <w:iCs/>
          <w:sz w:val="20"/>
          <w:szCs w:val="20"/>
        </w:rPr>
      </w:pPr>
    </w:p>
    <w:p w14:paraId="78A83055" w14:textId="7B92B927" w:rsidR="00D975E2" w:rsidRPr="000B433D" w:rsidRDefault="00D975E2" w:rsidP="003B4C8D">
      <w:pPr>
        <w:pStyle w:val="Default"/>
        <w:spacing w:line="360" w:lineRule="auto"/>
        <w:rPr>
          <w:rFonts w:ascii="Stone Sans II ITC Com Lt" w:eastAsia="Times New Roman" w:hAnsi="Stone Sans II ITC Com Lt"/>
          <w:sz w:val="20"/>
          <w:lang w:eastAsia="de-DE"/>
        </w:rPr>
      </w:pPr>
    </w:p>
    <w:p w14:paraId="25EAC591" w14:textId="1E79A9BA" w:rsidR="00902C82" w:rsidRDefault="00902C82" w:rsidP="00D975E2">
      <w:pPr>
        <w:spacing w:after="0"/>
        <w:textAlignment w:val="baseline"/>
        <w:rPr>
          <w:rFonts w:ascii="Stone Sans II ITC Com Lt" w:eastAsia="Times New Roman" w:hAnsi="Stone Sans II ITC Com Lt" w:cs="Arial"/>
          <w:sz w:val="20"/>
          <w:szCs w:val="24"/>
          <w:lang w:eastAsia="de-DE"/>
        </w:rPr>
      </w:pPr>
    </w:p>
    <w:p w14:paraId="5980F25C" w14:textId="77777777" w:rsidR="003B4C8D" w:rsidRDefault="003B4C8D" w:rsidP="00D975E2">
      <w:pPr>
        <w:spacing w:after="0"/>
        <w:textAlignment w:val="baseline"/>
        <w:rPr>
          <w:rFonts w:ascii="Stone Sans II ITC Com Lt" w:eastAsia="Times New Roman" w:hAnsi="Stone Sans II ITC Com Lt" w:cs="Arial"/>
          <w:sz w:val="20"/>
          <w:szCs w:val="24"/>
          <w:lang w:eastAsia="de-DE"/>
        </w:rPr>
      </w:pPr>
    </w:p>
    <w:p w14:paraId="6FE6891C" w14:textId="77777777" w:rsidR="003B4C8D" w:rsidRDefault="003B4C8D" w:rsidP="00D975E2">
      <w:pPr>
        <w:spacing w:after="0"/>
        <w:textAlignment w:val="baseline"/>
        <w:rPr>
          <w:rFonts w:ascii="Stone Sans II ITC Com Lt" w:eastAsia="Times New Roman" w:hAnsi="Stone Sans II ITC Com Lt" w:cs="Arial"/>
          <w:sz w:val="20"/>
          <w:szCs w:val="24"/>
          <w:lang w:eastAsia="de-DE"/>
        </w:rPr>
      </w:pPr>
    </w:p>
    <w:p w14:paraId="448828A3" w14:textId="084F7CA0" w:rsidR="003B4C8D" w:rsidRDefault="003B4C8D" w:rsidP="00D975E2">
      <w:pPr>
        <w:spacing w:after="0"/>
        <w:textAlignment w:val="baseline"/>
        <w:rPr>
          <w:rFonts w:ascii="Stone Sans II ITC Com Lt" w:eastAsia="Times New Roman" w:hAnsi="Stone Sans II ITC Com Lt" w:cs="Arial"/>
          <w:sz w:val="20"/>
          <w:szCs w:val="24"/>
          <w:lang w:eastAsia="de-DE"/>
        </w:rPr>
      </w:pPr>
    </w:p>
    <w:p w14:paraId="6C6CC104" w14:textId="77777777" w:rsidR="003B4C8D" w:rsidRDefault="003B4C8D" w:rsidP="00D975E2">
      <w:pPr>
        <w:spacing w:after="0"/>
        <w:textAlignment w:val="baseline"/>
        <w:rPr>
          <w:rFonts w:ascii="Stone Sans II ITC Com Lt" w:eastAsia="Times New Roman" w:hAnsi="Stone Sans II ITC Com Lt" w:cs="Arial"/>
          <w:sz w:val="20"/>
          <w:szCs w:val="24"/>
          <w:lang w:eastAsia="de-DE"/>
        </w:rPr>
      </w:pPr>
    </w:p>
    <w:p w14:paraId="755113BB" w14:textId="77777777" w:rsidR="00A62F67" w:rsidRDefault="00A62F67" w:rsidP="00D975E2">
      <w:pPr>
        <w:spacing w:after="0"/>
        <w:textAlignment w:val="baseline"/>
        <w:rPr>
          <w:rFonts w:ascii="Stone Sans II ITC Com Lt" w:eastAsia="Times New Roman" w:hAnsi="Stone Sans II ITC Com Lt" w:cs="Arial"/>
          <w:sz w:val="20"/>
          <w:szCs w:val="24"/>
          <w:lang w:eastAsia="de-DE"/>
        </w:rPr>
      </w:pPr>
    </w:p>
    <w:p w14:paraId="32C5FDE5" w14:textId="77777777" w:rsidR="00A62F67" w:rsidRDefault="00A62F67" w:rsidP="00D975E2">
      <w:pPr>
        <w:spacing w:after="0"/>
        <w:textAlignment w:val="baseline"/>
        <w:rPr>
          <w:rFonts w:ascii="Stone Sans II ITC Com Lt" w:eastAsia="Times New Roman" w:hAnsi="Stone Sans II ITC Com Lt" w:cs="Arial"/>
          <w:sz w:val="20"/>
          <w:szCs w:val="24"/>
          <w:lang w:eastAsia="de-DE"/>
        </w:rPr>
      </w:pPr>
    </w:p>
    <w:p w14:paraId="6C47C281" w14:textId="652E1825" w:rsidR="00DA6BD9" w:rsidRDefault="00DA6BD9" w:rsidP="00D975E2">
      <w:pPr>
        <w:spacing w:after="0"/>
        <w:textAlignment w:val="baseline"/>
        <w:rPr>
          <w:rFonts w:ascii="Stone Sans II ITC Com Lt" w:eastAsia="Times New Roman" w:hAnsi="Stone Sans II ITC Com Lt" w:cs="Arial"/>
          <w:szCs w:val="28"/>
          <w:lang w:eastAsia="de-DE"/>
        </w:rPr>
      </w:pPr>
      <w:r w:rsidRPr="001420F5">
        <w:rPr>
          <w:rFonts w:ascii="Stone Sans II ITC Com Lt" w:eastAsia="Times New Roman" w:hAnsi="Stone Sans II ITC Com Lt" w:cs="Arial"/>
          <w:szCs w:val="28"/>
          <w:lang w:eastAsia="de-DE"/>
        </w:rPr>
        <w:t>Bildmaterial</w:t>
      </w:r>
      <w:r w:rsidR="001420F5">
        <w:rPr>
          <w:rFonts w:ascii="Stone Sans II ITC Com Lt" w:eastAsia="Times New Roman" w:hAnsi="Stone Sans II ITC Com Lt" w:cs="Arial"/>
          <w:szCs w:val="28"/>
          <w:lang w:eastAsia="de-DE"/>
        </w:rPr>
        <w:t xml:space="preserve"> – Quelle ACO</w:t>
      </w:r>
    </w:p>
    <w:p w14:paraId="0F53864F" w14:textId="77777777" w:rsidR="001420F5" w:rsidRDefault="001420F5" w:rsidP="00D975E2">
      <w:pPr>
        <w:spacing w:after="0"/>
        <w:textAlignment w:val="baseline"/>
        <w:rPr>
          <w:rFonts w:ascii="Stone Sans II ITC Com Lt" w:eastAsia="Times New Roman" w:hAnsi="Stone Sans II ITC Com Lt" w:cs="Arial"/>
          <w:szCs w:val="28"/>
          <w:lang w:eastAsia="de-DE"/>
        </w:rPr>
      </w:pPr>
    </w:p>
    <w:p w14:paraId="47A4FDDC" w14:textId="7A52B09F" w:rsidR="001420F5" w:rsidRDefault="001420F5" w:rsidP="00D975E2">
      <w:pPr>
        <w:spacing w:after="0"/>
        <w:textAlignment w:val="baseline"/>
        <w:rPr>
          <w:rFonts w:ascii="Stone Sans II ITC Com Lt" w:eastAsia="Times New Roman" w:hAnsi="Stone Sans II ITC Com Lt" w:cs="Arial"/>
          <w:szCs w:val="28"/>
          <w:lang w:eastAsia="de-DE"/>
        </w:rPr>
      </w:pPr>
      <w:r w:rsidRPr="001420F5">
        <w:rPr>
          <w:rFonts w:ascii="Stone Sans II ITC Com Lt" w:eastAsia="Times New Roman" w:hAnsi="Stone Sans II ITC Com Lt" w:cs="Arial"/>
          <w:noProof/>
          <w:szCs w:val="28"/>
          <w:lang w:eastAsia="de-DE"/>
        </w:rPr>
        <w:drawing>
          <wp:inline distT="0" distB="0" distL="0" distR="0" wp14:anchorId="2B7EC6FF" wp14:editId="07D62583">
            <wp:extent cx="4486275" cy="3055283"/>
            <wp:effectExtent l="0" t="0" r="0" b="0"/>
            <wp:docPr id="2185776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90086" cy="3057878"/>
                    </a:xfrm>
                    <a:prstGeom prst="rect">
                      <a:avLst/>
                    </a:prstGeom>
                    <a:noFill/>
                    <a:ln>
                      <a:noFill/>
                    </a:ln>
                  </pic:spPr>
                </pic:pic>
              </a:graphicData>
            </a:graphic>
          </wp:inline>
        </w:drawing>
      </w:r>
    </w:p>
    <w:p w14:paraId="5C7CEBF3" w14:textId="77777777" w:rsidR="00FF6353" w:rsidRDefault="00FF6353" w:rsidP="00D975E2">
      <w:pPr>
        <w:spacing w:after="0"/>
        <w:textAlignment w:val="baseline"/>
        <w:rPr>
          <w:rFonts w:ascii="Stone Sans II ITC Com Lt" w:eastAsia="Times New Roman" w:hAnsi="Stone Sans II ITC Com Lt" w:cs="Arial"/>
          <w:szCs w:val="28"/>
          <w:lang w:eastAsia="de-DE"/>
        </w:rPr>
      </w:pPr>
    </w:p>
    <w:p w14:paraId="28C29611" w14:textId="738F5355" w:rsidR="001420F5" w:rsidRDefault="00FF6353" w:rsidP="00D975E2">
      <w:pPr>
        <w:spacing w:after="0"/>
        <w:textAlignment w:val="baseline"/>
        <w:rPr>
          <w:rFonts w:ascii="Stone Sans II ITC Com Lt" w:eastAsia="Times New Roman" w:hAnsi="Stone Sans II ITC Com Lt" w:cs="Arial"/>
          <w:szCs w:val="28"/>
          <w:lang w:eastAsia="de-DE"/>
        </w:rPr>
      </w:pPr>
      <w:r w:rsidRPr="00FF6353">
        <w:rPr>
          <w:rFonts w:ascii="Stone Sans II ITC Com Lt" w:eastAsia="Times New Roman" w:hAnsi="Stone Sans II ITC Com Lt" w:cs="Arial"/>
          <w:szCs w:val="28"/>
          <w:lang w:eastAsia="de-DE"/>
        </w:rPr>
        <w:t>ACO Kompaktanlage Oleolift-C für Leichtflüssigkeiten: Sicherheit bei Rückstauschutz</w:t>
      </w:r>
    </w:p>
    <w:p w14:paraId="77D390E1" w14:textId="77777777" w:rsidR="00FF6353" w:rsidRDefault="00FF6353" w:rsidP="00D975E2">
      <w:pPr>
        <w:spacing w:after="0"/>
        <w:textAlignment w:val="baseline"/>
        <w:rPr>
          <w:rFonts w:ascii="Stone Sans II ITC Com Lt" w:eastAsia="Times New Roman" w:hAnsi="Stone Sans II ITC Com Lt" w:cs="Arial"/>
          <w:szCs w:val="28"/>
          <w:lang w:eastAsia="de-DE"/>
        </w:rPr>
      </w:pPr>
    </w:p>
    <w:p w14:paraId="1F274CAA" w14:textId="6EC48A22" w:rsidR="00FF6353" w:rsidRDefault="00FF6353" w:rsidP="00D975E2">
      <w:pPr>
        <w:spacing w:after="0"/>
        <w:textAlignment w:val="baseline"/>
        <w:rPr>
          <w:rFonts w:ascii="Stone Sans II ITC Com Lt" w:eastAsia="Times New Roman" w:hAnsi="Stone Sans II ITC Com Lt" w:cs="Arial"/>
          <w:szCs w:val="28"/>
          <w:lang w:eastAsia="de-DE"/>
        </w:rPr>
      </w:pPr>
      <w:r w:rsidRPr="00FF6353">
        <w:rPr>
          <w:rFonts w:ascii="Stone Sans II ITC Com Lt" w:eastAsia="Times New Roman" w:hAnsi="Stone Sans II ITC Com Lt" w:cs="Arial"/>
          <w:noProof/>
          <w:szCs w:val="28"/>
          <w:lang w:eastAsia="de-DE"/>
        </w:rPr>
        <w:drawing>
          <wp:inline distT="0" distB="0" distL="0" distR="0" wp14:anchorId="541005C5" wp14:editId="3E0125C7">
            <wp:extent cx="1905000" cy="2470091"/>
            <wp:effectExtent l="0" t="0" r="0" b="6985"/>
            <wp:docPr id="47802935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8346" cy="2487396"/>
                    </a:xfrm>
                    <a:prstGeom prst="rect">
                      <a:avLst/>
                    </a:prstGeom>
                    <a:noFill/>
                    <a:ln>
                      <a:noFill/>
                    </a:ln>
                  </pic:spPr>
                </pic:pic>
              </a:graphicData>
            </a:graphic>
          </wp:inline>
        </w:drawing>
      </w:r>
    </w:p>
    <w:p w14:paraId="673650E2" w14:textId="0EF59E96" w:rsidR="00FF6353" w:rsidRPr="001420F5" w:rsidRDefault="00213F2C" w:rsidP="00D975E2">
      <w:pPr>
        <w:spacing w:after="0"/>
        <w:textAlignment w:val="baseline"/>
        <w:rPr>
          <w:rFonts w:ascii="Stone Sans II ITC Com Lt" w:eastAsia="Times New Roman" w:hAnsi="Stone Sans II ITC Com Lt" w:cs="Arial"/>
          <w:szCs w:val="28"/>
          <w:lang w:eastAsia="de-DE"/>
        </w:rPr>
      </w:pPr>
      <w:r w:rsidRPr="00213F2C">
        <w:rPr>
          <w:rFonts w:ascii="Stone Sans II ITC Com Lt" w:eastAsia="Times New Roman" w:hAnsi="Stone Sans II ITC Com Lt" w:cs="Arial"/>
          <w:szCs w:val="28"/>
          <w:lang w:eastAsia="de-DE"/>
        </w:rPr>
        <w:t xml:space="preserve">ACO Oleolift-C, die </w:t>
      </w:r>
      <w:r>
        <w:rPr>
          <w:rFonts w:ascii="Stone Sans II ITC Com Lt" w:eastAsia="Times New Roman" w:hAnsi="Stone Sans II ITC Com Lt" w:cs="Arial"/>
          <w:szCs w:val="28"/>
          <w:lang w:eastAsia="de-DE"/>
        </w:rPr>
        <w:t>kompakte Abscheideranlage</w:t>
      </w:r>
    </w:p>
    <w:p w14:paraId="3B183A29" w14:textId="6D223465" w:rsidR="00DA6BD9" w:rsidRDefault="00DA6BD9" w:rsidP="00D975E2">
      <w:pPr>
        <w:spacing w:after="0"/>
        <w:textAlignment w:val="baseline"/>
        <w:rPr>
          <w:rFonts w:ascii="Stone Sans II ITC Com Lt" w:eastAsia="Times New Roman" w:hAnsi="Stone Sans II ITC Com Lt" w:cs="Arial"/>
          <w:sz w:val="20"/>
          <w:szCs w:val="24"/>
          <w:lang w:eastAsia="de-DE"/>
        </w:rPr>
      </w:pPr>
    </w:p>
    <w:p w14:paraId="5440F62F" w14:textId="1067ECC2" w:rsidR="005068B0" w:rsidRDefault="005068B0" w:rsidP="00D975E2">
      <w:pPr>
        <w:spacing w:after="0"/>
        <w:textAlignment w:val="baseline"/>
        <w:rPr>
          <w:rFonts w:ascii="Stone Sans II ITC Com Lt" w:eastAsia="Times New Roman" w:hAnsi="Stone Sans II ITC Com Lt" w:cs="Arial"/>
          <w:sz w:val="20"/>
          <w:szCs w:val="24"/>
          <w:lang w:eastAsia="de-DE"/>
        </w:rPr>
      </w:pPr>
    </w:p>
    <w:p w14:paraId="675330E7" w14:textId="3AAA1DB9" w:rsidR="00634F90" w:rsidRDefault="009645F1" w:rsidP="00D975E2">
      <w:pPr>
        <w:spacing w:after="0"/>
        <w:textAlignment w:val="baseline"/>
        <w:rPr>
          <w:rFonts w:ascii="Stone Sans II ITC Com Lt" w:eastAsia="Times New Roman" w:hAnsi="Stone Sans II ITC Com Lt" w:cs="Arial"/>
          <w:sz w:val="20"/>
          <w:szCs w:val="24"/>
          <w:lang w:eastAsia="de-DE"/>
        </w:rPr>
      </w:pPr>
      <w:r>
        <w:rPr>
          <w:rFonts w:ascii="Stone Sans II ITC Com Lt" w:eastAsia="Times New Roman" w:hAnsi="Stone Sans II ITC Com Lt" w:cs="Arial"/>
          <w:sz w:val="20"/>
          <w:szCs w:val="24"/>
          <w:lang w:eastAsia="de-DE"/>
        </w:rPr>
        <w:t>Pressekontakt</w:t>
      </w:r>
      <w:r w:rsidR="00634F90" w:rsidRPr="000B433D">
        <w:rPr>
          <w:rFonts w:ascii="Stone Sans II ITC Com Lt" w:eastAsia="Times New Roman" w:hAnsi="Stone Sans II ITC Com Lt" w:cs="Arial"/>
          <w:sz w:val="20"/>
          <w:szCs w:val="24"/>
          <w:lang w:eastAsia="de-DE"/>
        </w:rPr>
        <w:t>:</w:t>
      </w:r>
    </w:p>
    <w:p w14:paraId="3DAF59DD" w14:textId="332F6EEA" w:rsidR="0036366E" w:rsidRPr="000B433D" w:rsidRDefault="0036366E" w:rsidP="00D975E2">
      <w:pPr>
        <w:spacing w:after="0"/>
        <w:textAlignment w:val="baseline"/>
        <w:rPr>
          <w:rFonts w:ascii="Stone Sans II ITC Com Lt" w:eastAsia="Times New Roman" w:hAnsi="Stone Sans II ITC Com Lt" w:cs="Arial"/>
          <w:sz w:val="20"/>
          <w:szCs w:val="24"/>
          <w:lang w:eastAsia="de-DE"/>
        </w:rPr>
      </w:pPr>
      <w:r>
        <w:rPr>
          <w:rFonts w:ascii="Stone Sans II ITC Com Lt" w:eastAsia="Times New Roman" w:hAnsi="Stone Sans II ITC Com Lt" w:cs="Arial"/>
          <w:sz w:val="20"/>
          <w:szCs w:val="24"/>
          <w:lang w:eastAsia="de-DE"/>
        </w:rPr>
        <w:t>ACO GmbH</w:t>
      </w:r>
    </w:p>
    <w:p w14:paraId="0646EA1E" w14:textId="5C326A14" w:rsidR="00B74E51" w:rsidRPr="00CB1D67" w:rsidRDefault="000B433D" w:rsidP="00DE73D8">
      <w:pPr>
        <w:rPr>
          <w:rStyle w:val="Hyperlink"/>
          <w:rFonts w:ascii="Stone Sans II ITC Com Lt" w:hAnsi="Stone Sans II ITC Com Lt" w:cs="Arial"/>
          <w:color w:val="000000" w:themeColor="text1"/>
          <w:sz w:val="20"/>
          <w:u w:val="none"/>
          <w:lang w:val="en-US"/>
        </w:rPr>
      </w:pPr>
      <w:r w:rsidRPr="00D9042E">
        <w:rPr>
          <w:rFonts w:ascii="Stone Sans II ITC Com Lt" w:hAnsi="Stone Sans II ITC Com Lt" w:cs="Arial"/>
          <w:b/>
          <w:bCs/>
          <w:color w:val="000000" w:themeColor="text1"/>
          <w:sz w:val="20"/>
          <w:lang w:val="en-US"/>
        </w:rPr>
        <w:t xml:space="preserve">Tanja Holst </w:t>
      </w:r>
      <w:r w:rsidR="00CB1D67" w:rsidRPr="00D9042E">
        <w:rPr>
          <w:rFonts w:ascii="Stone Sans II ITC Com Lt" w:hAnsi="Stone Sans II ITC Com Lt" w:cs="Arial"/>
          <w:b/>
          <w:bCs/>
          <w:color w:val="000000" w:themeColor="text1"/>
          <w:sz w:val="20"/>
          <w:lang w:val="en-US"/>
        </w:rPr>
        <w:br/>
      </w:r>
      <w:r w:rsidR="00CB1D67">
        <w:rPr>
          <w:rFonts w:ascii="Stone Sans II ITC Com Lt" w:hAnsi="Stone Sans II ITC Com Lt" w:cs="Arial"/>
          <w:color w:val="000000" w:themeColor="text1"/>
          <w:sz w:val="20"/>
          <w:lang w:val="en-US"/>
        </w:rPr>
        <w:t>Public Relations - Fachpresse</w:t>
      </w:r>
      <w:r w:rsidR="00C00711">
        <w:rPr>
          <w:rFonts w:ascii="Stone Sans II ITC Com Lt" w:hAnsi="Stone Sans II ITC Com Lt" w:cs="Arial"/>
          <w:color w:val="000000"/>
          <w:sz w:val="20"/>
          <w:shd w:val="clear" w:color="auto" w:fill="FFFFFF"/>
          <w:lang w:val="en-US"/>
        </w:rPr>
        <w:br/>
      </w:r>
      <w:r w:rsidR="00DE73D8" w:rsidRPr="006E02FD">
        <w:rPr>
          <w:rFonts w:ascii="Stone Sans II ITC Com Lt" w:hAnsi="Stone Sans II ITC Com Lt" w:cs="Arial"/>
          <w:color w:val="000000"/>
          <w:sz w:val="20"/>
          <w:shd w:val="clear" w:color="auto" w:fill="FFFFFF"/>
          <w:lang w:val="en-US"/>
        </w:rPr>
        <w:t>T</w:t>
      </w:r>
      <w:r w:rsidR="00DE73D8" w:rsidRPr="006E02FD">
        <w:rPr>
          <w:rFonts w:ascii="Stone Sans II ITC Com Lt" w:hAnsi="Stone Sans II ITC Com Lt" w:cs="Arial"/>
          <w:color w:val="000000" w:themeColor="text1"/>
          <w:sz w:val="20"/>
          <w:shd w:val="clear" w:color="auto" w:fill="FFFFFF"/>
          <w:lang w:val="en-US"/>
        </w:rPr>
        <w:t>el.: </w:t>
      </w:r>
      <w:hyperlink r:id="rId15" w:history="1">
        <w:r w:rsidR="00DE73D8" w:rsidRPr="006E02FD">
          <w:rPr>
            <w:rStyle w:val="Hyperlink"/>
            <w:rFonts w:ascii="Stone Sans II ITC Com Lt" w:hAnsi="Stone Sans II ITC Com Lt" w:cs="Arial"/>
            <w:color w:val="000000" w:themeColor="text1"/>
            <w:sz w:val="20"/>
            <w:u w:val="none"/>
            <w:shd w:val="clear" w:color="auto" w:fill="FFFFFF"/>
            <w:lang w:val="en-US"/>
          </w:rPr>
          <w:t xml:space="preserve">+49 4331 354 </w:t>
        </w:r>
      </w:hyperlink>
      <w:r w:rsidRPr="006E02FD">
        <w:rPr>
          <w:rStyle w:val="Hyperlink"/>
          <w:rFonts w:ascii="Stone Sans II ITC Com Lt" w:hAnsi="Stone Sans II ITC Com Lt" w:cs="Arial"/>
          <w:color w:val="000000" w:themeColor="text1"/>
          <w:sz w:val="20"/>
          <w:u w:val="none"/>
          <w:shd w:val="clear" w:color="auto" w:fill="FFFFFF"/>
          <w:lang w:val="en-US"/>
        </w:rPr>
        <w:t>197</w:t>
      </w:r>
      <w:r w:rsidRPr="006E02FD">
        <w:rPr>
          <w:rStyle w:val="Hyperlink"/>
          <w:rFonts w:ascii="Stone Sans II ITC Com Lt" w:hAnsi="Stone Sans II ITC Com Lt" w:cs="Arial"/>
          <w:color w:val="000000" w:themeColor="text1"/>
          <w:sz w:val="20"/>
          <w:u w:val="none"/>
          <w:shd w:val="clear" w:color="auto" w:fill="FFFFFF"/>
          <w:lang w:val="en-US"/>
        </w:rPr>
        <w:br/>
        <w:t>Mobil: +49 151 64738331</w:t>
      </w:r>
      <w:r w:rsidR="00D975E2" w:rsidRPr="006E02FD">
        <w:rPr>
          <w:rFonts w:ascii="Stone Sans II ITC Com Lt" w:hAnsi="Stone Sans II ITC Com Lt" w:cs="Arial"/>
          <w:color w:val="000000"/>
          <w:sz w:val="17"/>
          <w:szCs w:val="17"/>
          <w:lang w:val="en-US" w:eastAsia="de-DE"/>
        </w:rPr>
        <w:t xml:space="preserve"> </w:t>
      </w:r>
      <w:r w:rsidR="00D975E2" w:rsidRPr="006E02FD">
        <w:rPr>
          <w:rFonts w:ascii="Stone Sans II ITC Com Lt" w:hAnsi="Stone Sans II ITC Com Lt" w:cs="Arial"/>
          <w:color w:val="000000"/>
          <w:sz w:val="17"/>
          <w:szCs w:val="17"/>
          <w:lang w:val="en-US" w:eastAsia="de-DE"/>
        </w:rPr>
        <w:br/>
      </w:r>
      <w:r w:rsidR="00DE73D8" w:rsidRPr="006E02FD">
        <w:rPr>
          <w:rFonts w:ascii="Stone Sans II ITC Com Lt" w:hAnsi="Stone Sans II ITC Com Lt" w:cs="Arial"/>
          <w:color w:val="000000" w:themeColor="text1"/>
          <w:sz w:val="20"/>
          <w:shd w:val="clear" w:color="auto" w:fill="FFFFFF"/>
          <w:lang w:val="en-US"/>
        </w:rPr>
        <w:t>E-</w:t>
      </w:r>
      <w:r w:rsidR="00B95F54" w:rsidRPr="006E02FD">
        <w:rPr>
          <w:rFonts w:ascii="Stone Sans II ITC Com Lt" w:hAnsi="Stone Sans II ITC Com Lt" w:cs="Arial"/>
          <w:color w:val="000000" w:themeColor="text1"/>
          <w:sz w:val="20"/>
          <w:shd w:val="clear" w:color="auto" w:fill="FFFFFF"/>
          <w:lang w:val="en-US"/>
        </w:rPr>
        <w:t>M</w:t>
      </w:r>
      <w:r w:rsidR="00DE73D8" w:rsidRPr="006E02FD">
        <w:rPr>
          <w:rFonts w:ascii="Stone Sans II ITC Com Lt" w:hAnsi="Stone Sans II ITC Com Lt" w:cs="Arial"/>
          <w:color w:val="000000" w:themeColor="text1"/>
          <w:sz w:val="20"/>
          <w:shd w:val="clear" w:color="auto" w:fill="FFFFFF"/>
          <w:lang w:val="en-US"/>
        </w:rPr>
        <w:t>ail: </w:t>
      </w:r>
      <w:hyperlink r:id="rId16" w:history="1">
        <w:r w:rsidR="00462739" w:rsidRPr="006E02FD">
          <w:rPr>
            <w:rStyle w:val="Hyperlink"/>
            <w:rFonts w:ascii="Stone Sans II ITC Com Lt" w:hAnsi="Stone Sans II ITC Com Lt" w:cs="Arial"/>
            <w:sz w:val="20"/>
            <w:shd w:val="clear" w:color="auto" w:fill="FFFFFF"/>
            <w:lang w:val="en-US"/>
          </w:rPr>
          <w:t>tanja.holst@aco.com</w:t>
        </w:r>
      </w:hyperlink>
    </w:p>
    <w:p w14:paraId="1F266D36" w14:textId="77777777" w:rsidR="00542585" w:rsidRPr="006E02FD" w:rsidRDefault="00542585" w:rsidP="00DE73D8">
      <w:pPr>
        <w:rPr>
          <w:rStyle w:val="Hyperlink"/>
          <w:rFonts w:ascii="Arial" w:hAnsi="Arial" w:cs="Arial"/>
          <w:color w:val="000000" w:themeColor="text1"/>
          <w:sz w:val="20"/>
          <w:u w:val="none"/>
          <w:shd w:val="clear" w:color="auto" w:fill="FFFFFF"/>
          <w:lang w:val="en-US"/>
        </w:rPr>
      </w:pPr>
    </w:p>
    <w:sectPr w:rsidR="00542585" w:rsidRPr="006E02FD" w:rsidSect="00F546F0">
      <w:footerReference w:type="default" r:id="rId17"/>
      <w:pgSz w:w="11906" w:h="16838"/>
      <w:pgMar w:top="851" w:right="1274" w:bottom="156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0F2AD" w14:textId="77777777" w:rsidR="0021143A" w:rsidRDefault="0021143A" w:rsidP="00044844">
      <w:pPr>
        <w:spacing w:after="0" w:line="240" w:lineRule="auto"/>
      </w:pPr>
      <w:r>
        <w:separator/>
      </w:r>
    </w:p>
  </w:endnote>
  <w:endnote w:type="continuationSeparator" w:id="0">
    <w:p w14:paraId="4BA4800F" w14:textId="77777777" w:rsidR="0021143A" w:rsidRDefault="0021143A" w:rsidP="00044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tone Sans II ITC Com Lt">
    <w:panose1 w:val="020B0302040503020204"/>
    <w:charset w:val="00"/>
    <w:family w:val="swiss"/>
    <w:pitch w:val="variable"/>
    <w:sig w:usb0="A00000AF" w:usb1="5000205B" w:usb2="00000000" w:usb3="00000000" w:csb0="0000009B" w:csb1="00000000"/>
  </w:font>
  <w:font w:name="NewsGothic,Bold">
    <w:panose1 w:val="00000000000000000000"/>
    <w:charset w:val="00"/>
    <w:family w:val="auto"/>
    <w:notTrueType/>
    <w:pitch w:val="default"/>
    <w:sig w:usb0="00000003" w:usb1="00000000" w:usb2="00000000" w:usb3="00000000" w:csb0="00000001" w:csb1="00000000"/>
  </w:font>
  <w:font w:name="Stone Sans II ITC Com Bk">
    <w:panose1 w:val="020B0502040503020204"/>
    <w:charset w:val="00"/>
    <w:family w:val="swiss"/>
    <w:pitch w:val="variable"/>
    <w:sig w:usb0="A00000AF" w:usb1="5000205B" w:usb2="00000000" w:usb3="00000000" w:csb0="0000009B" w:csb1="00000000"/>
  </w:font>
  <w:font w:name="Stone Sans II ITC Com Lt Cn">
    <w:panose1 w:val="020B0306040503020204"/>
    <w:charset w:val="00"/>
    <w:family w:val="swiss"/>
    <w:pitch w:val="variable"/>
    <w:sig w:usb0="A00000A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CE26E" w14:textId="356E7BE5" w:rsidR="00044844" w:rsidRPr="00CB4EB3" w:rsidRDefault="00D01A8A" w:rsidP="003E71A3">
    <w:pPr>
      <w:pStyle w:val="Fuzeile"/>
      <w:tabs>
        <w:tab w:val="clear" w:pos="4536"/>
        <w:tab w:val="clear" w:pos="9072"/>
        <w:tab w:val="left" w:pos="1970"/>
      </w:tabs>
      <w:jc w:val="right"/>
      <w:rPr>
        <w:rFonts w:ascii="Stone Sans II ITC Com Lt Cn" w:hAnsi="Stone Sans II ITC Com Lt Cn"/>
        <w:color w:val="BFBFBF"/>
        <w:sz w:val="18"/>
        <w:szCs w:val="18"/>
      </w:rPr>
    </w:pPr>
    <w:r>
      <w:rPr>
        <w:noProof/>
        <w:lang w:eastAsia="de-DE"/>
      </w:rPr>
      <w:drawing>
        <wp:anchor distT="0" distB="0" distL="114300" distR="114300" simplePos="0" relativeHeight="251662336" behindDoc="0" locked="0" layoutInCell="1" allowOverlap="1" wp14:anchorId="1F99D5D5" wp14:editId="6BAD0FD0">
          <wp:simplePos x="0" y="0"/>
          <wp:positionH relativeFrom="column">
            <wp:posOffset>1391446</wp:posOffset>
          </wp:positionH>
          <wp:positionV relativeFrom="paragraph">
            <wp:posOffset>75565</wp:posOffset>
          </wp:positionV>
          <wp:extent cx="251460" cy="251460"/>
          <wp:effectExtent l="0" t="0" r="0" b="0"/>
          <wp:wrapNone/>
          <wp:docPr id="4" name="Grafik 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nterest_re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1312" behindDoc="0" locked="0" layoutInCell="1" allowOverlap="1" wp14:anchorId="69448AAF" wp14:editId="7E3B6CD1">
          <wp:simplePos x="0" y="0"/>
          <wp:positionH relativeFrom="column">
            <wp:posOffset>1035211</wp:posOffset>
          </wp:positionH>
          <wp:positionV relativeFrom="paragraph">
            <wp:posOffset>75565</wp:posOffset>
          </wp:positionV>
          <wp:extent cx="251460" cy="251460"/>
          <wp:effectExtent l="0" t="0" r="0" b="0"/>
          <wp:wrapNone/>
          <wp:docPr id="5" name="Grafik 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3"/>
                  </pic:cNvPr>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0288" behindDoc="1" locked="0" layoutInCell="1" allowOverlap="1" wp14:anchorId="7C73EDEF" wp14:editId="067BE8FB">
          <wp:simplePos x="0" y="0"/>
          <wp:positionH relativeFrom="column">
            <wp:posOffset>686435</wp:posOffset>
          </wp:positionH>
          <wp:positionV relativeFrom="paragraph">
            <wp:posOffset>76200</wp:posOffset>
          </wp:positionV>
          <wp:extent cx="251460" cy="251460"/>
          <wp:effectExtent l="0" t="0" r="0" b="0"/>
          <wp:wrapNone/>
          <wp:docPr id="6" name="Grafik 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utube_re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9264" behindDoc="0" locked="0" layoutInCell="1" allowOverlap="1" wp14:anchorId="5AA5A219" wp14:editId="431B58EA">
          <wp:simplePos x="0" y="0"/>
          <wp:positionH relativeFrom="column">
            <wp:posOffset>343061</wp:posOffset>
          </wp:positionH>
          <wp:positionV relativeFrom="paragraph">
            <wp:posOffset>76200</wp:posOffset>
          </wp:positionV>
          <wp:extent cx="251460" cy="251460"/>
          <wp:effectExtent l="0" t="0" r="0" b="0"/>
          <wp:wrapThrough wrapText="bothSides">
            <wp:wrapPolygon edited="0">
              <wp:start x="0" y="0"/>
              <wp:lineTo x="0" y="19636"/>
              <wp:lineTo x="19636" y="19636"/>
              <wp:lineTo x="19636" y="0"/>
              <wp:lineTo x="0" y="0"/>
            </wp:wrapPolygon>
          </wp:wrapThrough>
          <wp:docPr id="7" name="Grafik 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a:hlinkClick r:id="rId7"/>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sidR="00CA2083">
      <w:rPr>
        <w:rFonts w:ascii="Stone Sans II ITC Com Lt Cn" w:hAnsi="Stone Sans II ITC Com Lt Cn"/>
        <w:noProof/>
        <w:color w:val="BFBFBF"/>
        <w:sz w:val="18"/>
        <w:szCs w:val="18"/>
        <w:lang w:eastAsia="de-DE"/>
      </w:rPr>
      <w:drawing>
        <wp:anchor distT="0" distB="0" distL="114300" distR="114300" simplePos="0" relativeHeight="251658240" behindDoc="1" locked="0" layoutInCell="1" allowOverlap="1" wp14:anchorId="3D4D4CCA" wp14:editId="437EB943">
          <wp:simplePos x="0" y="0"/>
          <wp:positionH relativeFrom="margin">
            <wp:align>left</wp:align>
          </wp:positionH>
          <wp:positionV relativeFrom="paragraph">
            <wp:posOffset>74930</wp:posOffset>
          </wp:positionV>
          <wp:extent cx="252000" cy="252000"/>
          <wp:effectExtent l="0" t="0" r="0" b="0"/>
          <wp:wrapTight wrapText="bothSides">
            <wp:wrapPolygon edited="0">
              <wp:start x="0" y="0"/>
              <wp:lineTo x="0" y="19636"/>
              <wp:lineTo x="19636" y="19636"/>
              <wp:lineTo x="19636" y="0"/>
              <wp:lineTo x="0" y="0"/>
            </wp:wrapPolygon>
          </wp:wrapTight>
          <wp:docPr id="8" name="Grafik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14:sizeRelH relativeFrom="margin">
            <wp14:pctWidth>0</wp14:pctWidth>
          </wp14:sizeRelH>
          <wp14:sizeRelV relativeFrom="margin">
            <wp14:pctHeight>0</wp14:pctHeight>
          </wp14:sizeRelV>
        </wp:anchor>
      </w:drawing>
    </w:r>
    <w:r w:rsidR="00044844" w:rsidRPr="00CB4EB3">
      <w:rPr>
        <w:rFonts w:ascii="Stone Sans II ITC Com Lt Cn" w:hAnsi="Stone Sans II ITC Com Lt Cn"/>
        <w:color w:val="BFBFBF"/>
        <w:sz w:val="18"/>
        <w:szCs w:val="18"/>
      </w:rPr>
      <w:t xml:space="preserve">Seite </w:t>
    </w:r>
    <w:sdt>
      <w:sdtPr>
        <w:rPr>
          <w:rFonts w:ascii="Stone Sans II ITC Com Lt Cn" w:hAnsi="Stone Sans II ITC Com Lt Cn"/>
          <w:b/>
          <w:color w:val="BFBFBF"/>
          <w:sz w:val="18"/>
          <w:szCs w:val="18"/>
        </w:rPr>
        <w:id w:val="-569734593"/>
        <w:docPartObj>
          <w:docPartGallery w:val="Page Numbers (Bottom of Page)"/>
          <w:docPartUnique/>
        </w:docPartObj>
      </w:sdtPr>
      <w:sdtEndPr/>
      <w:sdtContent>
        <w:r w:rsidR="00044844" w:rsidRPr="00CB4EB3">
          <w:rPr>
            <w:rFonts w:ascii="Stone Sans II ITC Com Lt Cn" w:hAnsi="Stone Sans II ITC Com Lt Cn"/>
            <w:b/>
            <w:color w:val="BFBFBF"/>
            <w:sz w:val="18"/>
            <w:szCs w:val="18"/>
          </w:rPr>
          <w:fldChar w:fldCharType="begin"/>
        </w:r>
        <w:r w:rsidR="00044844" w:rsidRPr="00CB4EB3">
          <w:rPr>
            <w:rFonts w:ascii="Stone Sans II ITC Com Lt Cn" w:hAnsi="Stone Sans II ITC Com Lt Cn"/>
            <w:b/>
            <w:color w:val="BFBFBF"/>
            <w:sz w:val="18"/>
            <w:szCs w:val="18"/>
          </w:rPr>
          <w:instrText>PAGE   \* MERGEFORMAT</w:instrText>
        </w:r>
        <w:r w:rsidR="00044844" w:rsidRPr="00CB4EB3">
          <w:rPr>
            <w:rFonts w:ascii="Stone Sans II ITC Com Lt Cn" w:hAnsi="Stone Sans II ITC Com Lt Cn"/>
            <w:b/>
            <w:color w:val="BFBFBF"/>
            <w:sz w:val="18"/>
            <w:szCs w:val="18"/>
          </w:rPr>
          <w:fldChar w:fldCharType="separate"/>
        </w:r>
        <w:r w:rsidR="005C18B7">
          <w:rPr>
            <w:rFonts w:ascii="Stone Sans II ITC Com Lt Cn" w:hAnsi="Stone Sans II ITC Com Lt Cn"/>
            <w:b/>
            <w:noProof/>
            <w:color w:val="BFBFBF"/>
            <w:sz w:val="18"/>
            <w:szCs w:val="18"/>
          </w:rPr>
          <w:t>1</w:t>
        </w:r>
        <w:r w:rsidR="00044844" w:rsidRPr="00CB4EB3">
          <w:rPr>
            <w:rFonts w:ascii="Stone Sans II ITC Com Lt Cn" w:hAnsi="Stone Sans II ITC Com Lt Cn"/>
            <w:b/>
            <w:color w:val="BFBFBF"/>
            <w:sz w:val="18"/>
            <w:szCs w:val="18"/>
          </w:rPr>
          <w:fldChar w:fldCharType="end"/>
        </w:r>
        <w:r w:rsidR="00044844" w:rsidRPr="00CB4EB3">
          <w:rPr>
            <w:rFonts w:ascii="Stone Sans II ITC Com Lt Cn" w:hAnsi="Stone Sans II ITC Com Lt Cn"/>
            <w:b/>
            <w:color w:val="BFBFBF"/>
            <w:sz w:val="18"/>
            <w:szCs w:val="18"/>
          </w:rPr>
          <w:t xml:space="preserve"> </w:t>
        </w:r>
        <w:r w:rsidR="00044844" w:rsidRPr="00CB4EB3">
          <w:rPr>
            <w:rFonts w:ascii="Stone Sans II ITC Com Lt Cn" w:hAnsi="Stone Sans II ITC Com Lt Cn"/>
            <w:color w:val="BFBFBF"/>
            <w:sz w:val="18"/>
            <w:szCs w:val="18"/>
          </w:rPr>
          <w:t xml:space="preserve">von </w:t>
        </w:r>
        <w:r w:rsidR="00044844" w:rsidRPr="00CB4EB3">
          <w:rPr>
            <w:rFonts w:ascii="Stone Sans II ITC Com Lt Cn" w:hAnsi="Stone Sans II ITC Com Lt Cn"/>
            <w:b/>
            <w:color w:val="BFBFBF"/>
            <w:sz w:val="18"/>
            <w:szCs w:val="18"/>
          </w:rPr>
          <w:fldChar w:fldCharType="begin"/>
        </w:r>
        <w:r w:rsidR="00044844" w:rsidRPr="00CB4EB3">
          <w:rPr>
            <w:rFonts w:ascii="Stone Sans II ITC Com Lt Cn" w:hAnsi="Stone Sans II ITC Com Lt Cn"/>
            <w:b/>
            <w:color w:val="BFBFBF"/>
            <w:sz w:val="18"/>
            <w:szCs w:val="18"/>
          </w:rPr>
          <w:instrText xml:space="preserve"> NUMPAGES   \* MERGEFORMAT </w:instrText>
        </w:r>
        <w:r w:rsidR="00044844" w:rsidRPr="00CB4EB3">
          <w:rPr>
            <w:rFonts w:ascii="Stone Sans II ITC Com Lt Cn" w:hAnsi="Stone Sans II ITC Com Lt Cn"/>
            <w:b/>
            <w:color w:val="BFBFBF"/>
            <w:sz w:val="18"/>
            <w:szCs w:val="18"/>
          </w:rPr>
          <w:fldChar w:fldCharType="separate"/>
        </w:r>
        <w:r w:rsidR="005C18B7">
          <w:rPr>
            <w:rFonts w:ascii="Stone Sans II ITC Com Lt Cn" w:hAnsi="Stone Sans II ITC Com Lt Cn"/>
            <w:b/>
            <w:noProof/>
            <w:color w:val="BFBFBF"/>
            <w:sz w:val="18"/>
            <w:szCs w:val="18"/>
          </w:rPr>
          <w:t>2</w:t>
        </w:r>
        <w:r w:rsidR="00044844" w:rsidRPr="00CB4EB3">
          <w:rPr>
            <w:rFonts w:ascii="Stone Sans II ITC Com Lt Cn" w:hAnsi="Stone Sans II ITC Com Lt Cn"/>
            <w:b/>
            <w:color w:val="BFBFBF"/>
            <w:sz w:val="18"/>
            <w:szCs w:val="18"/>
          </w:rPr>
          <w:fldChar w:fldCharType="end"/>
        </w:r>
      </w:sdtContent>
    </w:sdt>
    <w:r w:rsidR="003E71A3">
      <w:rPr>
        <w:rFonts w:ascii="Stone Sans II ITC Com Lt Cn" w:hAnsi="Stone Sans II ITC Com Lt Cn"/>
        <w:b/>
        <w:color w:val="BFBFBF"/>
        <w:sz w:val="18"/>
        <w:szCs w:val="18"/>
      </w:rPr>
      <w:tab/>
    </w:r>
  </w:p>
  <w:p w14:paraId="34C76B15" w14:textId="77777777" w:rsidR="00044844" w:rsidRDefault="0004484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CDEEB" w14:textId="77777777" w:rsidR="0021143A" w:rsidRDefault="0021143A" w:rsidP="00044844">
      <w:pPr>
        <w:spacing w:after="0" w:line="240" w:lineRule="auto"/>
      </w:pPr>
      <w:r>
        <w:separator/>
      </w:r>
    </w:p>
  </w:footnote>
  <w:footnote w:type="continuationSeparator" w:id="0">
    <w:p w14:paraId="26B96C91" w14:textId="77777777" w:rsidR="0021143A" w:rsidRDefault="0021143A" w:rsidP="000448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8671E"/>
    <w:multiLevelType w:val="hybridMultilevel"/>
    <w:tmpl w:val="9CFA8D46"/>
    <w:lvl w:ilvl="0" w:tplc="65E43834">
      <w:start w:val="20"/>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4552518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NoRADokID" w:val="1519"/>
    <w:docVar w:name="NoRADokVerTyp" w:val="NoRADokument"/>
  </w:docVars>
  <w:rsids>
    <w:rsidRoot w:val="00044844"/>
    <w:rsid w:val="000130E6"/>
    <w:rsid w:val="000241E9"/>
    <w:rsid w:val="0003347E"/>
    <w:rsid w:val="00034D8F"/>
    <w:rsid w:val="00036DD8"/>
    <w:rsid w:val="0003777C"/>
    <w:rsid w:val="0004480A"/>
    <w:rsid w:val="00044844"/>
    <w:rsid w:val="0006391B"/>
    <w:rsid w:val="00066AD4"/>
    <w:rsid w:val="00067C2E"/>
    <w:rsid w:val="00071C2F"/>
    <w:rsid w:val="000B31AA"/>
    <w:rsid w:val="000B433D"/>
    <w:rsid w:val="000F78C7"/>
    <w:rsid w:val="001024AB"/>
    <w:rsid w:val="00104E36"/>
    <w:rsid w:val="00105B60"/>
    <w:rsid w:val="001216DA"/>
    <w:rsid w:val="0013362A"/>
    <w:rsid w:val="0013479F"/>
    <w:rsid w:val="001420F5"/>
    <w:rsid w:val="00182CEE"/>
    <w:rsid w:val="001902FC"/>
    <w:rsid w:val="001A1EDB"/>
    <w:rsid w:val="001A4B88"/>
    <w:rsid w:val="001A7868"/>
    <w:rsid w:val="001B22EF"/>
    <w:rsid w:val="001B57F6"/>
    <w:rsid w:val="001D34AF"/>
    <w:rsid w:val="001D5E70"/>
    <w:rsid w:val="00204BF2"/>
    <w:rsid w:val="002064C6"/>
    <w:rsid w:val="0021143A"/>
    <w:rsid w:val="00213F2C"/>
    <w:rsid w:val="002235AE"/>
    <w:rsid w:val="00226B61"/>
    <w:rsid w:val="002363FF"/>
    <w:rsid w:val="00245EDA"/>
    <w:rsid w:val="002503CD"/>
    <w:rsid w:val="00252708"/>
    <w:rsid w:val="00252EC7"/>
    <w:rsid w:val="00265A18"/>
    <w:rsid w:val="00270A69"/>
    <w:rsid w:val="00274321"/>
    <w:rsid w:val="00284790"/>
    <w:rsid w:val="002D4FDB"/>
    <w:rsid w:val="002D67A7"/>
    <w:rsid w:val="002D77CC"/>
    <w:rsid w:val="002E7E51"/>
    <w:rsid w:val="003058CA"/>
    <w:rsid w:val="00311284"/>
    <w:rsid w:val="0031267A"/>
    <w:rsid w:val="003324AB"/>
    <w:rsid w:val="00350908"/>
    <w:rsid w:val="003567B5"/>
    <w:rsid w:val="00356D87"/>
    <w:rsid w:val="003576FB"/>
    <w:rsid w:val="0036366E"/>
    <w:rsid w:val="00364D41"/>
    <w:rsid w:val="00376682"/>
    <w:rsid w:val="003931C9"/>
    <w:rsid w:val="003A0B9E"/>
    <w:rsid w:val="003B38E3"/>
    <w:rsid w:val="003B4C8D"/>
    <w:rsid w:val="003B4CE2"/>
    <w:rsid w:val="003C3DA2"/>
    <w:rsid w:val="003D4EEB"/>
    <w:rsid w:val="003E00A4"/>
    <w:rsid w:val="003E6B8C"/>
    <w:rsid w:val="003E71A3"/>
    <w:rsid w:val="003F31E9"/>
    <w:rsid w:val="004005BD"/>
    <w:rsid w:val="00406A3C"/>
    <w:rsid w:val="00416C87"/>
    <w:rsid w:val="00422EC6"/>
    <w:rsid w:val="004445DB"/>
    <w:rsid w:val="00447457"/>
    <w:rsid w:val="00462739"/>
    <w:rsid w:val="0047148D"/>
    <w:rsid w:val="00472784"/>
    <w:rsid w:val="004D7038"/>
    <w:rsid w:val="004E7EF0"/>
    <w:rsid w:val="00504DA2"/>
    <w:rsid w:val="005068B0"/>
    <w:rsid w:val="0050698B"/>
    <w:rsid w:val="0053352C"/>
    <w:rsid w:val="0054235E"/>
    <w:rsid w:val="00542585"/>
    <w:rsid w:val="00565445"/>
    <w:rsid w:val="00570E74"/>
    <w:rsid w:val="00576DF6"/>
    <w:rsid w:val="00582064"/>
    <w:rsid w:val="005A40D0"/>
    <w:rsid w:val="005B08C3"/>
    <w:rsid w:val="005C18B7"/>
    <w:rsid w:val="00611C56"/>
    <w:rsid w:val="00612C08"/>
    <w:rsid w:val="00620ABE"/>
    <w:rsid w:val="00634424"/>
    <w:rsid w:val="00634F90"/>
    <w:rsid w:val="00642242"/>
    <w:rsid w:val="00646509"/>
    <w:rsid w:val="00651EE9"/>
    <w:rsid w:val="00652B4C"/>
    <w:rsid w:val="0066400A"/>
    <w:rsid w:val="0067033C"/>
    <w:rsid w:val="006764EF"/>
    <w:rsid w:val="006778AF"/>
    <w:rsid w:val="00685A91"/>
    <w:rsid w:val="006971EE"/>
    <w:rsid w:val="006A0C3C"/>
    <w:rsid w:val="006C398F"/>
    <w:rsid w:val="006D5DC3"/>
    <w:rsid w:val="006E0031"/>
    <w:rsid w:val="006E02FD"/>
    <w:rsid w:val="00704140"/>
    <w:rsid w:val="00716728"/>
    <w:rsid w:val="0071733B"/>
    <w:rsid w:val="007179E6"/>
    <w:rsid w:val="0072074B"/>
    <w:rsid w:val="0074008A"/>
    <w:rsid w:val="0075575F"/>
    <w:rsid w:val="00762FA7"/>
    <w:rsid w:val="00773FBF"/>
    <w:rsid w:val="00775017"/>
    <w:rsid w:val="00790667"/>
    <w:rsid w:val="00794EB3"/>
    <w:rsid w:val="007A1EAA"/>
    <w:rsid w:val="007A55F6"/>
    <w:rsid w:val="007A5CBC"/>
    <w:rsid w:val="007D3B6D"/>
    <w:rsid w:val="007D588F"/>
    <w:rsid w:val="007D79B0"/>
    <w:rsid w:val="007E45DA"/>
    <w:rsid w:val="007F15DC"/>
    <w:rsid w:val="007F4502"/>
    <w:rsid w:val="00817C8D"/>
    <w:rsid w:val="00826048"/>
    <w:rsid w:val="00842DC3"/>
    <w:rsid w:val="00844456"/>
    <w:rsid w:val="0086253F"/>
    <w:rsid w:val="00862802"/>
    <w:rsid w:val="00864546"/>
    <w:rsid w:val="008B165E"/>
    <w:rsid w:val="008B186B"/>
    <w:rsid w:val="008C7D53"/>
    <w:rsid w:val="008D01B3"/>
    <w:rsid w:val="008E6D30"/>
    <w:rsid w:val="008F2732"/>
    <w:rsid w:val="00902C82"/>
    <w:rsid w:val="00920654"/>
    <w:rsid w:val="00932EB0"/>
    <w:rsid w:val="00934C1D"/>
    <w:rsid w:val="00936927"/>
    <w:rsid w:val="009503EA"/>
    <w:rsid w:val="00951E26"/>
    <w:rsid w:val="009645F1"/>
    <w:rsid w:val="00984FC7"/>
    <w:rsid w:val="00995C8F"/>
    <w:rsid w:val="009A4B51"/>
    <w:rsid w:val="009B0345"/>
    <w:rsid w:val="009C0B31"/>
    <w:rsid w:val="009C5B44"/>
    <w:rsid w:val="009D7D4D"/>
    <w:rsid w:val="009E094C"/>
    <w:rsid w:val="009E123B"/>
    <w:rsid w:val="00A30148"/>
    <w:rsid w:val="00A3561E"/>
    <w:rsid w:val="00A4013C"/>
    <w:rsid w:val="00A42521"/>
    <w:rsid w:val="00A5469C"/>
    <w:rsid w:val="00A5514E"/>
    <w:rsid w:val="00A62F67"/>
    <w:rsid w:val="00A76CCE"/>
    <w:rsid w:val="00A84D08"/>
    <w:rsid w:val="00A9688F"/>
    <w:rsid w:val="00AA378D"/>
    <w:rsid w:val="00AC7600"/>
    <w:rsid w:val="00AD55C2"/>
    <w:rsid w:val="00AD5F9C"/>
    <w:rsid w:val="00B0337C"/>
    <w:rsid w:val="00B05F4C"/>
    <w:rsid w:val="00B14C0F"/>
    <w:rsid w:val="00B16ED4"/>
    <w:rsid w:val="00B25925"/>
    <w:rsid w:val="00B354B3"/>
    <w:rsid w:val="00B40415"/>
    <w:rsid w:val="00B4327B"/>
    <w:rsid w:val="00B44E7E"/>
    <w:rsid w:val="00B46ECD"/>
    <w:rsid w:val="00B728A3"/>
    <w:rsid w:val="00B74E51"/>
    <w:rsid w:val="00B85748"/>
    <w:rsid w:val="00B9116A"/>
    <w:rsid w:val="00B95F54"/>
    <w:rsid w:val="00BC2F52"/>
    <w:rsid w:val="00BC6514"/>
    <w:rsid w:val="00BD0911"/>
    <w:rsid w:val="00BE0C1A"/>
    <w:rsid w:val="00C00711"/>
    <w:rsid w:val="00C03AA0"/>
    <w:rsid w:val="00C04923"/>
    <w:rsid w:val="00C050A2"/>
    <w:rsid w:val="00C05110"/>
    <w:rsid w:val="00C1045C"/>
    <w:rsid w:val="00C274FC"/>
    <w:rsid w:val="00C42ED0"/>
    <w:rsid w:val="00C475C3"/>
    <w:rsid w:val="00C5681D"/>
    <w:rsid w:val="00C578FB"/>
    <w:rsid w:val="00C63C4E"/>
    <w:rsid w:val="00C64668"/>
    <w:rsid w:val="00C875AF"/>
    <w:rsid w:val="00C90F38"/>
    <w:rsid w:val="00C93C2C"/>
    <w:rsid w:val="00C961BA"/>
    <w:rsid w:val="00C97733"/>
    <w:rsid w:val="00CA2083"/>
    <w:rsid w:val="00CA369C"/>
    <w:rsid w:val="00CB1D67"/>
    <w:rsid w:val="00CB4EB3"/>
    <w:rsid w:val="00CB5832"/>
    <w:rsid w:val="00CB6EC1"/>
    <w:rsid w:val="00D01A8A"/>
    <w:rsid w:val="00D01A91"/>
    <w:rsid w:val="00D0325C"/>
    <w:rsid w:val="00D121B9"/>
    <w:rsid w:val="00D124E8"/>
    <w:rsid w:val="00D13E71"/>
    <w:rsid w:val="00D31A39"/>
    <w:rsid w:val="00D34C02"/>
    <w:rsid w:val="00D369FF"/>
    <w:rsid w:val="00D44918"/>
    <w:rsid w:val="00D57851"/>
    <w:rsid w:val="00D869B8"/>
    <w:rsid w:val="00D9042E"/>
    <w:rsid w:val="00D92401"/>
    <w:rsid w:val="00D975E2"/>
    <w:rsid w:val="00DA6BD9"/>
    <w:rsid w:val="00DB60A8"/>
    <w:rsid w:val="00DC4EF5"/>
    <w:rsid w:val="00DD17B3"/>
    <w:rsid w:val="00DD6AA3"/>
    <w:rsid w:val="00DE4604"/>
    <w:rsid w:val="00DE73D8"/>
    <w:rsid w:val="00DF40BA"/>
    <w:rsid w:val="00E0433B"/>
    <w:rsid w:val="00E13373"/>
    <w:rsid w:val="00E31624"/>
    <w:rsid w:val="00E3788D"/>
    <w:rsid w:val="00E41F1B"/>
    <w:rsid w:val="00E43F83"/>
    <w:rsid w:val="00E53EA6"/>
    <w:rsid w:val="00E53ED5"/>
    <w:rsid w:val="00E61E50"/>
    <w:rsid w:val="00E764D5"/>
    <w:rsid w:val="00EB6750"/>
    <w:rsid w:val="00EC2B96"/>
    <w:rsid w:val="00EC4D69"/>
    <w:rsid w:val="00EC7A45"/>
    <w:rsid w:val="00EC7A7C"/>
    <w:rsid w:val="00ED462B"/>
    <w:rsid w:val="00ED6ED3"/>
    <w:rsid w:val="00EE4218"/>
    <w:rsid w:val="00EE50DB"/>
    <w:rsid w:val="00EE5502"/>
    <w:rsid w:val="00EF60C1"/>
    <w:rsid w:val="00F02503"/>
    <w:rsid w:val="00F05BFD"/>
    <w:rsid w:val="00F07F40"/>
    <w:rsid w:val="00F1072F"/>
    <w:rsid w:val="00F13F80"/>
    <w:rsid w:val="00F2386F"/>
    <w:rsid w:val="00F546F0"/>
    <w:rsid w:val="00F83C2D"/>
    <w:rsid w:val="00F840C7"/>
    <w:rsid w:val="00F84967"/>
    <w:rsid w:val="00FA179B"/>
    <w:rsid w:val="00FD1CDD"/>
    <w:rsid w:val="00FE5639"/>
    <w:rsid w:val="00FF63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78793D"/>
  <w15:docId w15:val="{110A9366-4562-4E62-8FF5-09E853CDC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4484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44844"/>
  </w:style>
  <w:style w:type="paragraph" w:styleId="Fuzeile">
    <w:name w:val="footer"/>
    <w:basedOn w:val="Standard"/>
    <w:link w:val="FuzeileZchn"/>
    <w:uiPriority w:val="99"/>
    <w:unhideWhenUsed/>
    <w:rsid w:val="0004484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44844"/>
  </w:style>
  <w:style w:type="paragraph" w:styleId="Sprechblasentext">
    <w:name w:val="Balloon Text"/>
    <w:basedOn w:val="Standard"/>
    <w:link w:val="SprechblasentextZchn"/>
    <w:uiPriority w:val="99"/>
    <w:semiHidden/>
    <w:unhideWhenUsed/>
    <w:rsid w:val="0004484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44844"/>
    <w:rPr>
      <w:rFonts w:ascii="Tahoma" w:hAnsi="Tahoma" w:cs="Tahoma"/>
      <w:sz w:val="16"/>
      <w:szCs w:val="16"/>
    </w:rPr>
  </w:style>
  <w:style w:type="paragraph" w:customStyle="1" w:styleId="Default">
    <w:name w:val="Default"/>
    <w:rsid w:val="00920654"/>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Absatz-Standardschriftart"/>
    <w:uiPriority w:val="99"/>
    <w:unhideWhenUsed/>
    <w:rsid w:val="007179E6"/>
    <w:rPr>
      <w:color w:val="0000FF" w:themeColor="hyperlink"/>
      <w:u w:val="single"/>
    </w:rPr>
  </w:style>
  <w:style w:type="character" w:customStyle="1" w:styleId="58cl">
    <w:name w:val="_58cl"/>
    <w:basedOn w:val="Absatz-Standardschriftart"/>
    <w:rsid w:val="0075575F"/>
  </w:style>
  <w:style w:type="character" w:customStyle="1" w:styleId="58cm">
    <w:name w:val="_58cm"/>
    <w:basedOn w:val="Absatz-Standardschriftart"/>
    <w:rsid w:val="0075575F"/>
  </w:style>
  <w:style w:type="character" w:customStyle="1" w:styleId="textexposedshow">
    <w:name w:val="text_exposed_show"/>
    <w:basedOn w:val="Absatz-Standardschriftart"/>
    <w:rsid w:val="0075575F"/>
  </w:style>
  <w:style w:type="paragraph" w:styleId="StandardWeb">
    <w:name w:val="Normal (Web)"/>
    <w:basedOn w:val="Standard"/>
    <w:uiPriority w:val="99"/>
    <w:unhideWhenUsed/>
    <w:rsid w:val="003B4CE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3B4CE2"/>
    <w:rPr>
      <w:b/>
      <w:bCs/>
    </w:rPr>
  </w:style>
  <w:style w:type="character" w:customStyle="1" w:styleId="nc684nl6">
    <w:name w:val="nc684nl6"/>
    <w:basedOn w:val="Absatz-Standardschriftart"/>
    <w:rsid w:val="0006391B"/>
  </w:style>
  <w:style w:type="character" w:styleId="Kommentarzeichen">
    <w:name w:val="annotation reference"/>
    <w:basedOn w:val="Absatz-Standardschriftart"/>
    <w:uiPriority w:val="99"/>
    <w:semiHidden/>
    <w:unhideWhenUsed/>
    <w:rsid w:val="001A4B88"/>
    <w:rPr>
      <w:sz w:val="16"/>
      <w:szCs w:val="16"/>
    </w:rPr>
  </w:style>
  <w:style w:type="paragraph" w:styleId="Kommentartext">
    <w:name w:val="annotation text"/>
    <w:basedOn w:val="Standard"/>
    <w:link w:val="KommentartextZchn"/>
    <w:uiPriority w:val="99"/>
    <w:unhideWhenUsed/>
    <w:rsid w:val="001A4B88"/>
    <w:pPr>
      <w:spacing w:line="240" w:lineRule="auto"/>
    </w:pPr>
    <w:rPr>
      <w:sz w:val="20"/>
      <w:szCs w:val="20"/>
    </w:rPr>
  </w:style>
  <w:style w:type="character" w:customStyle="1" w:styleId="KommentartextZchn">
    <w:name w:val="Kommentartext Zchn"/>
    <w:basedOn w:val="Absatz-Standardschriftart"/>
    <w:link w:val="Kommentartext"/>
    <w:uiPriority w:val="99"/>
    <w:rsid w:val="001A4B88"/>
    <w:rPr>
      <w:sz w:val="20"/>
      <w:szCs w:val="20"/>
    </w:rPr>
  </w:style>
  <w:style w:type="paragraph" w:styleId="Kommentarthema">
    <w:name w:val="annotation subject"/>
    <w:basedOn w:val="Kommentartext"/>
    <w:next w:val="Kommentartext"/>
    <w:link w:val="KommentarthemaZchn"/>
    <w:uiPriority w:val="99"/>
    <w:semiHidden/>
    <w:unhideWhenUsed/>
    <w:rsid w:val="001A4B88"/>
    <w:rPr>
      <w:b/>
      <w:bCs/>
    </w:rPr>
  </w:style>
  <w:style w:type="character" w:customStyle="1" w:styleId="KommentarthemaZchn">
    <w:name w:val="Kommentarthema Zchn"/>
    <w:basedOn w:val="KommentartextZchn"/>
    <w:link w:val="Kommentarthema"/>
    <w:uiPriority w:val="99"/>
    <w:semiHidden/>
    <w:rsid w:val="001A4B88"/>
    <w:rPr>
      <w:b/>
      <w:bCs/>
      <w:sz w:val="20"/>
      <w:szCs w:val="20"/>
    </w:rPr>
  </w:style>
  <w:style w:type="character" w:styleId="Hervorhebung">
    <w:name w:val="Emphasis"/>
    <w:basedOn w:val="Absatz-Standardschriftart"/>
    <w:uiPriority w:val="20"/>
    <w:qFormat/>
    <w:rsid w:val="00634F90"/>
    <w:rPr>
      <w:i/>
      <w:iCs/>
    </w:rPr>
  </w:style>
  <w:style w:type="paragraph" w:styleId="Beschriftung">
    <w:name w:val="caption"/>
    <w:basedOn w:val="Standard"/>
    <w:next w:val="Standard"/>
    <w:uiPriority w:val="35"/>
    <w:unhideWhenUsed/>
    <w:qFormat/>
    <w:rsid w:val="00542585"/>
    <w:pPr>
      <w:spacing w:line="240" w:lineRule="auto"/>
    </w:pPr>
    <w:rPr>
      <w:i/>
      <w:iCs/>
      <w:color w:val="1F497D" w:themeColor="text2"/>
      <w:sz w:val="18"/>
      <w:szCs w:val="18"/>
    </w:rPr>
  </w:style>
  <w:style w:type="character" w:styleId="NichtaufgelsteErwhnung">
    <w:name w:val="Unresolved Mention"/>
    <w:basedOn w:val="Absatz-Standardschriftart"/>
    <w:uiPriority w:val="99"/>
    <w:semiHidden/>
    <w:unhideWhenUsed/>
    <w:rsid w:val="004627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337565">
      <w:bodyDiv w:val="1"/>
      <w:marLeft w:val="0"/>
      <w:marRight w:val="0"/>
      <w:marTop w:val="0"/>
      <w:marBottom w:val="0"/>
      <w:divBdr>
        <w:top w:val="none" w:sz="0" w:space="0" w:color="auto"/>
        <w:left w:val="none" w:sz="0" w:space="0" w:color="auto"/>
        <w:bottom w:val="none" w:sz="0" w:space="0" w:color="auto"/>
        <w:right w:val="none" w:sz="0" w:space="0" w:color="auto"/>
      </w:divBdr>
    </w:div>
    <w:div w:id="1146969873">
      <w:bodyDiv w:val="1"/>
      <w:marLeft w:val="0"/>
      <w:marRight w:val="0"/>
      <w:marTop w:val="0"/>
      <w:marBottom w:val="0"/>
      <w:divBdr>
        <w:top w:val="none" w:sz="0" w:space="0" w:color="auto"/>
        <w:left w:val="none" w:sz="0" w:space="0" w:color="auto"/>
        <w:bottom w:val="none" w:sz="0" w:space="0" w:color="auto"/>
        <w:right w:val="none" w:sz="0" w:space="0" w:color="auto"/>
      </w:divBdr>
    </w:div>
    <w:div w:id="1368019622">
      <w:bodyDiv w:val="1"/>
      <w:marLeft w:val="0"/>
      <w:marRight w:val="0"/>
      <w:marTop w:val="0"/>
      <w:marBottom w:val="0"/>
      <w:divBdr>
        <w:top w:val="none" w:sz="0" w:space="0" w:color="auto"/>
        <w:left w:val="none" w:sz="0" w:space="0" w:color="auto"/>
        <w:bottom w:val="none" w:sz="0" w:space="0" w:color="auto"/>
        <w:right w:val="none" w:sz="0" w:space="0" w:color="auto"/>
      </w:divBdr>
    </w:div>
    <w:div w:id="1651400166">
      <w:bodyDiv w:val="1"/>
      <w:marLeft w:val="0"/>
      <w:marRight w:val="0"/>
      <w:marTop w:val="0"/>
      <w:marBottom w:val="0"/>
      <w:divBdr>
        <w:top w:val="none" w:sz="0" w:space="0" w:color="auto"/>
        <w:left w:val="none" w:sz="0" w:space="0" w:color="auto"/>
        <w:bottom w:val="none" w:sz="0" w:space="0" w:color="auto"/>
        <w:right w:val="none" w:sz="0" w:space="0" w:color="auto"/>
      </w:divBdr>
    </w:div>
    <w:div w:id="1844927238">
      <w:bodyDiv w:val="1"/>
      <w:marLeft w:val="0"/>
      <w:marRight w:val="0"/>
      <w:marTop w:val="0"/>
      <w:marBottom w:val="0"/>
      <w:divBdr>
        <w:top w:val="none" w:sz="0" w:space="0" w:color="auto"/>
        <w:left w:val="none" w:sz="0" w:space="0" w:color="auto"/>
        <w:bottom w:val="none" w:sz="0" w:space="0" w:color="auto"/>
        <w:right w:val="none" w:sz="0" w:space="0" w:color="auto"/>
      </w:divBdr>
    </w:div>
    <w:div w:id="187210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aco.de/kompaktanlagen"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tanja.holst@ac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tel:+494331354174"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hyperlink" Target="https://www.instagram.com/aco_gmbh/" TargetMode="External"/><Relationship Id="rId7" Type="http://schemas.openxmlformats.org/officeDocument/2006/relationships/hyperlink" Target="https://www.linkedin.com/company/9254055/" TargetMode="External"/><Relationship Id="rId2" Type="http://schemas.openxmlformats.org/officeDocument/2006/relationships/image" Target="media/image4.jpeg"/><Relationship Id="rId1" Type="http://schemas.openxmlformats.org/officeDocument/2006/relationships/hyperlink" Target="https://www.pinterest.de/aco_group/" TargetMode="External"/><Relationship Id="rId6" Type="http://schemas.openxmlformats.org/officeDocument/2006/relationships/image" Target="media/image6.jpeg"/><Relationship Id="rId5" Type="http://schemas.openxmlformats.org/officeDocument/2006/relationships/hyperlink" Target="https://www.youtube.com/user/ACO" TargetMode="External"/><Relationship Id="rId10" Type="http://schemas.openxmlformats.org/officeDocument/2006/relationships/image" Target="media/image8.jpeg"/><Relationship Id="rId4" Type="http://schemas.openxmlformats.org/officeDocument/2006/relationships/image" Target="media/image5.jpeg"/><Relationship Id="rId9" Type="http://schemas.openxmlformats.org/officeDocument/2006/relationships/hyperlink" Target="https://www.facebook.com/aco.gmbh/"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713BF2190340498494A9A1FF180FE7" ma:contentTypeVersion="14" ma:contentTypeDescription="Create a new document." ma:contentTypeScope="" ma:versionID="46c78b81dc16181786e9167bc5dcd3a4">
  <xsd:schema xmlns:xsd="http://www.w3.org/2001/XMLSchema" xmlns:xs="http://www.w3.org/2001/XMLSchema" xmlns:p="http://schemas.microsoft.com/office/2006/metadata/properties" xmlns:ns3="1dbbf5a9-2a0b-4ada-a975-ebcf54b62960" xmlns:ns4="565f8b1a-46b3-4429-a7c5-210ffb2a9658" targetNamespace="http://schemas.microsoft.com/office/2006/metadata/properties" ma:root="true" ma:fieldsID="085dec1cd8988839265fe042c07be197" ns3:_="" ns4:_="">
    <xsd:import namespace="1dbbf5a9-2a0b-4ada-a975-ebcf54b62960"/>
    <xsd:import namespace="565f8b1a-46b3-4429-a7c5-210ffb2a965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bbf5a9-2a0b-4ada-a975-ebcf54b629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65f8b1a-46b3-4429-a7c5-210ffb2a965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A2AD56-8CB4-4908-B470-1EE7E4115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bbf5a9-2a0b-4ada-a975-ebcf54b62960"/>
    <ds:schemaRef ds:uri="565f8b1a-46b3-4429-a7c5-210ffb2a96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49B512-50BD-4E7C-9F70-EBE033DB7D92}">
  <ds:schemaRefs>
    <ds:schemaRef ds:uri="http://schemas.openxmlformats.org/officeDocument/2006/bibliography"/>
  </ds:schemaRefs>
</ds:datastoreItem>
</file>

<file path=customXml/itemProps3.xml><?xml version="1.0" encoding="utf-8"?>
<ds:datastoreItem xmlns:ds="http://schemas.openxmlformats.org/officeDocument/2006/customXml" ds:itemID="{2D51669B-BC45-4E96-BBF6-69D21E71A72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3F242B5-E1AD-4C56-BDCD-07040D189C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365</Words>
  <Characters>2777</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ACO Severin Ahlmann GmbH &amp; Co KG</Company>
  <LinksUpToDate>false</LinksUpToDate>
  <CharactersWithSpaces>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Voß, Britta</dc:creator>
  <cp:lastModifiedBy>Holst, Tanja</cp:lastModifiedBy>
  <cp:revision>18</cp:revision>
  <cp:lastPrinted>2022-06-17T08:55:00Z</cp:lastPrinted>
  <dcterms:created xsi:type="dcterms:W3CDTF">2024-01-08T10:07:00Z</dcterms:created>
  <dcterms:modified xsi:type="dcterms:W3CDTF">2024-01-08T10:19:00Z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0x01010011713BF2190340498494A9A1FF180FE7</vt:lpwstr>
  </property>
  <property fmtid="{D5CDD505-2E9C-101B-9397-08002B2CF9AE}" pid="3" name="MSIP_Label_a02c3a69-5bb1-4896-a591-f45b96dda59d_Enabled">
    <vt:lpwstr>true</vt:lpwstr>
  </property>
  <property fmtid="{D5CDD505-2E9C-101B-9397-08002B2CF9AE}" pid="4" name="MSIP_Label_a02c3a69-5bb1-4896-a591-f45b96dda59d_SetDate">
    <vt:lpwstr>2023-03-02T07:13:28Z</vt:lpwstr>
  </property>
  <property fmtid="{D5CDD505-2E9C-101B-9397-08002B2CF9AE}" pid="5" name="MSIP_Label_a02c3a69-5bb1-4896-a591-f45b96dda59d_Method">
    <vt:lpwstr>Standard</vt:lpwstr>
  </property>
  <property fmtid="{D5CDD505-2E9C-101B-9397-08002B2CF9AE}" pid="6" name="MSIP_Label_a02c3a69-5bb1-4896-a591-f45b96dda59d_Name">
    <vt:lpwstr>Public</vt:lpwstr>
  </property>
  <property fmtid="{D5CDD505-2E9C-101B-9397-08002B2CF9AE}" pid="7" name="MSIP_Label_a02c3a69-5bb1-4896-a591-f45b96dda59d_SiteId">
    <vt:lpwstr>b53f6739-82d2-42c3-8e8d-458bdd89805b</vt:lpwstr>
  </property>
  <property fmtid="{D5CDD505-2E9C-101B-9397-08002B2CF9AE}" pid="8" name="MSIP_Label_a02c3a69-5bb1-4896-a591-f45b96dda59d_ActionId">
    <vt:lpwstr>80c6b7c1-64fb-41a8-b7b9-0c998d865db7</vt:lpwstr>
  </property>
  <property fmtid="{D5CDD505-2E9C-101B-9397-08002B2CF9AE}" pid="9" name="MSIP_Label_a02c3a69-5bb1-4896-a591-f45b96dda59d_ContentBits">
    <vt:lpwstr>0</vt:lpwstr>
  </property>
</Properties>
</file>