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AAF0E" w14:textId="77777777" w:rsidR="00DD6AA3" w:rsidRPr="000B433D" w:rsidRDefault="00DD6AA3" w:rsidP="00DD6AA3">
      <w:pPr>
        <w:pStyle w:val="Default"/>
        <w:spacing w:line="276" w:lineRule="auto"/>
        <w:rPr>
          <w:rFonts w:ascii="Stone Sans II ITC Com Lt" w:hAnsi="Stone Sans II ITC Com Lt"/>
          <w:sz w:val="18"/>
          <w:szCs w:val="18"/>
        </w:rPr>
      </w:pPr>
    </w:p>
    <w:p w14:paraId="0D8AAE51" w14:textId="77777777" w:rsidR="00DD6AA3" w:rsidRPr="000B433D" w:rsidRDefault="00DD6AA3" w:rsidP="00044844">
      <w:pPr>
        <w:autoSpaceDE w:val="0"/>
        <w:autoSpaceDN w:val="0"/>
        <w:adjustRightInd w:val="0"/>
        <w:spacing w:after="0" w:line="240" w:lineRule="auto"/>
        <w:rPr>
          <w:rFonts w:ascii="Stone Sans II ITC Com Lt" w:hAnsi="Stone Sans II ITC Com Lt" w:cs="NewsGothic,Bold"/>
          <w:b/>
          <w:bCs/>
          <w:sz w:val="24"/>
          <w:szCs w:val="24"/>
        </w:rPr>
      </w:pPr>
    </w:p>
    <w:p w14:paraId="1C4E0137" w14:textId="77777777" w:rsidR="00DD6AA3" w:rsidRPr="000B433D" w:rsidRDefault="00182CEE" w:rsidP="00E43F83">
      <w:pPr>
        <w:tabs>
          <w:tab w:val="left" w:pos="5878"/>
        </w:tabs>
        <w:autoSpaceDE w:val="0"/>
        <w:autoSpaceDN w:val="0"/>
        <w:adjustRightInd w:val="0"/>
        <w:spacing w:after="0" w:line="240" w:lineRule="auto"/>
        <w:rPr>
          <w:rFonts w:ascii="Stone Sans II ITC Com Lt" w:hAnsi="Stone Sans II ITC Com Lt" w:cs="NewsGothic,Bold"/>
          <w:b/>
          <w:bCs/>
          <w:sz w:val="24"/>
          <w:szCs w:val="24"/>
        </w:rPr>
      </w:pPr>
      <w:r w:rsidRPr="000B433D">
        <w:rPr>
          <w:rFonts w:ascii="Stone Sans II ITC Com Lt" w:hAnsi="Stone Sans II ITC Com Lt" w:cs="NewsGothic,Bold"/>
          <w:b/>
          <w:bCs/>
          <w:sz w:val="24"/>
          <w:szCs w:val="24"/>
        </w:rPr>
        <w:tab/>
      </w:r>
    </w:p>
    <w:p w14:paraId="77915FC3" w14:textId="77777777" w:rsidR="00044844" w:rsidRPr="000B433D" w:rsidRDefault="00044844" w:rsidP="00044844">
      <w:pPr>
        <w:autoSpaceDE w:val="0"/>
        <w:autoSpaceDN w:val="0"/>
        <w:adjustRightInd w:val="0"/>
        <w:spacing w:after="0" w:line="240" w:lineRule="auto"/>
        <w:rPr>
          <w:rFonts w:ascii="Stone Sans II ITC Com Lt" w:hAnsi="Stone Sans II ITC Com Lt" w:cs="NewsGothic,Bold"/>
          <w:b/>
          <w:bCs/>
          <w:sz w:val="24"/>
          <w:szCs w:val="24"/>
        </w:rPr>
      </w:pPr>
      <w:r w:rsidRPr="000B433D">
        <w:rPr>
          <w:rFonts w:ascii="Stone Sans II ITC Com Lt" w:hAnsi="Stone Sans II ITC Com Lt" w:cs="NewsGothic,Bold"/>
          <w:b/>
          <w:bCs/>
          <w:noProof/>
          <w:sz w:val="24"/>
          <w:szCs w:val="24"/>
          <w:lang w:eastAsia="de-DE"/>
        </w:rPr>
        <w:drawing>
          <wp:anchor distT="0" distB="0" distL="114300" distR="114300" simplePos="0" relativeHeight="251656704" behindDoc="0" locked="0" layoutInCell="1" allowOverlap="1" wp14:anchorId="62234B87" wp14:editId="7F155347">
            <wp:simplePos x="1082040" y="899160"/>
            <wp:positionH relativeFrom="margin">
              <wp:align>right</wp:align>
            </wp:positionH>
            <wp:positionV relativeFrom="margin">
              <wp:align>top</wp:align>
            </wp:positionV>
            <wp:extent cx="828000" cy="8280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LOGO 4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margin">
              <wp14:pctWidth>0</wp14:pctWidth>
            </wp14:sizeRelH>
            <wp14:sizeRelV relativeFrom="margin">
              <wp14:pctHeight>0</wp14:pctHeight>
            </wp14:sizeRelV>
          </wp:anchor>
        </w:drawing>
      </w:r>
    </w:p>
    <w:p w14:paraId="1F13B24E" w14:textId="77777777" w:rsidR="00044844" w:rsidRPr="000B433D" w:rsidRDefault="00044844" w:rsidP="00044844">
      <w:pPr>
        <w:autoSpaceDE w:val="0"/>
        <w:autoSpaceDN w:val="0"/>
        <w:adjustRightInd w:val="0"/>
        <w:spacing w:after="0" w:line="240" w:lineRule="auto"/>
        <w:rPr>
          <w:rFonts w:ascii="Stone Sans II ITC Com Lt" w:hAnsi="Stone Sans II ITC Com Lt" w:cs="NewsGothic,Bold"/>
          <w:b/>
          <w:bCs/>
          <w:sz w:val="24"/>
          <w:szCs w:val="24"/>
        </w:rPr>
      </w:pPr>
    </w:p>
    <w:p w14:paraId="51AC148E" w14:textId="77777777" w:rsidR="00D869B8" w:rsidRPr="000B433D" w:rsidRDefault="00D869B8" w:rsidP="00AA378D">
      <w:pPr>
        <w:autoSpaceDE w:val="0"/>
        <w:autoSpaceDN w:val="0"/>
        <w:adjustRightInd w:val="0"/>
        <w:spacing w:after="0"/>
        <w:rPr>
          <w:rFonts w:ascii="Stone Sans II ITC Com Lt" w:hAnsi="Stone Sans II ITC Com Lt" w:cs="NewsGothic,Bold"/>
          <w:b/>
          <w:bCs/>
          <w:color w:val="000000" w:themeColor="text1"/>
          <w:sz w:val="24"/>
          <w:szCs w:val="24"/>
        </w:rPr>
      </w:pPr>
    </w:p>
    <w:p w14:paraId="519D6A98" w14:textId="77777777" w:rsidR="00B16ED4" w:rsidRPr="000B433D" w:rsidRDefault="00B16ED4" w:rsidP="00AA378D">
      <w:pPr>
        <w:autoSpaceDE w:val="0"/>
        <w:autoSpaceDN w:val="0"/>
        <w:adjustRightInd w:val="0"/>
        <w:spacing w:after="0"/>
        <w:rPr>
          <w:rFonts w:ascii="Stone Sans II ITC Com Lt" w:hAnsi="Stone Sans II ITC Com Lt" w:cs="NewsGothic,Bold"/>
          <w:b/>
          <w:bCs/>
          <w:color w:val="000000" w:themeColor="text1"/>
          <w:sz w:val="24"/>
          <w:szCs w:val="24"/>
        </w:rPr>
      </w:pPr>
    </w:p>
    <w:p w14:paraId="1F0F2F59" w14:textId="18C81FB0" w:rsidR="00B16ED4" w:rsidRPr="000B433D" w:rsidRDefault="00E53EA6" w:rsidP="00F13F80">
      <w:pPr>
        <w:rPr>
          <w:rFonts w:ascii="Stone Sans II ITC Com Lt" w:hAnsi="Stone Sans II ITC Com Lt" w:cs="Arial"/>
          <w:color w:val="C00000"/>
          <w:sz w:val="34"/>
          <w:szCs w:val="34"/>
        </w:rPr>
      </w:pPr>
      <w:r w:rsidRPr="000B433D">
        <w:rPr>
          <w:rFonts w:ascii="Stone Sans II ITC Com Lt" w:hAnsi="Stone Sans II ITC Com Lt"/>
          <w:color w:val="000000" w:themeColor="text1"/>
          <w:sz w:val="28"/>
          <w:szCs w:val="48"/>
        </w:rPr>
        <w:t>Pressemitteilung</w:t>
      </w:r>
      <w:r w:rsidR="00406A3C" w:rsidRPr="000B433D">
        <w:rPr>
          <w:rFonts w:ascii="Stone Sans II ITC Com Lt" w:hAnsi="Stone Sans II ITC Com Lt"/>
          <w:color w:val="000000" w:themeColor="text1"/>
          <w:sz w:val="28"/>
          <w:szCs w:val="48"/>
        </w:rPr>
        <w:tab/>
      </w:r>
      <w:r w:rsidR="00B16ED4" w:rsidRPr="000B433D">
        <w:rPr>
          <w:rFonts w:ascii="Stone Sans II ITC Com Lt" w:hAnsi="Stone Sans II ITC Com Lt"/>
          <w:color w:val="C00000"/>
          <w:sz w:val="36"/>
          <w:szCs w:val="28"/>
        </w:rPr>
        <w:br/>
      </w:r>
    </w:p>
    <w:p w14:paraId="2553FF34" w14:textId="4A345C10" w:rsidR="00F05BFD" w:rsidRDefault="00E43F83" w:rsidP="00D01A91">
      <w:pPr>
        <w:spacing w:line="360" w:lineRule="auto"/>
        <w:ind w:left="5529"/>
        <w:jc w:val="right"/>
        <w:rPr>
          <w:rFonts w:ascii="Stone Sans II ITC Com Lt" w:hAnsi="Stone Sans II ITC Com Lt" w:cs="Arial"/>
          <w:color w:val="000000" w:themeColor="text1"/>
          <w:sz w:val="20"/>
        </w:rPr>
      </w:pPr>
      <w:r w:rsidRPr="000B433D">
        <w:rPr>
          <w:rFonts w:ascii="Stone Sans II ITC Com Lt" w:hAnsi="Stone Sans II ITC Com Lt" w:cs="Arial"/>
          <w:color w:val="000000" w:themeColor="text1"/>
          <w:sz w:val="20"/>
        </w:rPr>
        <w:t>Büdelsdorf</w:t>
      </w:r>
      <w:r w:rsidR="00D0325C">
        <w:rPr>
          <w:rFonts w:ascii="Stone Sans II ITC Com Lt" w:hAnsi="Stone Sans II ITC Com Lt" w:cs="Arial"/>
          <w:color w:val="000000" w:themeColor="text1"/>
          <w:sz w:val="20"/>
        </w:rPr>
        <w:t xml:space="preserve">, </w:t>
      </w:r>
      <w:r w:rsidR="00901416">
        <w:rPr>
          <w:rFonts w:ascii="Stone Sans II ITC Com Lt" w:hAnsi="Stone Sans II ITC Com Lt" w:cs="Arial"/>
          <w:color w:val="000000" w:themeColor="text1"/>
          <w:sz w:val="20"/>
        </w:rPr>
        <w:t>03.05</w:t>
      </w:r>
      <w:r w:rsidR="007D3B6D">
        <w:rPr>
          <w:rFonts w:ascii="Stone Sans II ITC Com Lt" w:hAnsi="Stone Sans II ITC Com Lt" w:cs="Arial"/>
          <w:color w:val="000000" w:themeColor="text1"/>
          <w:sz w:val="20"/>
        </w:rPr>
        <w:t>.2024</w:t>
      </w:r>
    </w:p>
    <w:p w14:paraId="4D8C1527" w14:textId="77777777" w:rsidR="00E106D4" w:rsidRDefault="00E106D4" w:rsidP="00B658EA">
      <w:pPr>
        <w:rPr>
          <w:rFonts w:ascii="Stone Sans II ITC Com Bk" w:hAnsi="Stone Sans II ITC Com Bk"/>
          <w:b/>
          <w:bCs/>
        </w:rPr>
      </w:pPr>
    </w:p>
    <w:p w14:paraId="1E1C435C" w14:textId="57A2FF4D" w:rsidR="00B658EA" w:rsidRPr="000A50B5" w:rsidRDefault="00B658EA" w:rsidP="00B658EA">
      <w:pPr>
        <w:rPr>
          <w:rFonts w:ascii="Stone Sans II ITC Com Bk" w:hAnsi="Stone Sans II ITC Com Bk"/>
          <w:b/>
          <w:bCs/>
          <w:sz w:val="24"/>
          <w:szCs w:val="24"/>
        </w:rPr>
      </w:pPr>
      <w:r w:rsidRPr="000A50B5">
        <w:rPr>
          <w:rFonts w:ascii="Stone Sans II ITC Com Bk" w:hAnsi="Stone Sans II ITC Com Bk"/>
          <w:b/>
          <w:bCs/>
          <w:sz w:val="24"/>
          <w:szCs w:val="24"/>
        </w:rPr>
        <w:t xml:space="preserve">Von allem das Beste – Die neue </w:t>
      </w:r>
      <w:r w:rsidR="00C92CD9">
        <w:rPr>
          <w:rFonts w:ascii="Stone Sans II ITC Com Bk" w:hAnsi="Stone Sans II ITC Com Bk"/>
          <w:b/>
          <w:bCs/>
          <w:sz w:val="24"/>
          <w:szCs w:val="24"/>
        </w:rPr>
        <w:t xml:space="preserve">Entwässerungsrinne </w:t>
      </w:r>
      <w:r w:rsidRPr="000A50B5">
        <w:rPr>
          <w:rFonts w:ascii="Stone Sans II ITC Com Bk" w:hAnsi="Stone Sans II ITC Com Bk"/>
          <w:b/>
          <w:bCs/>
          <w:sz w:val="24"/>
          <w:szCs w:val="24"/>
        </w:rPr>
        <w:t>ACO DRAIN® Powerblock</w:t>
      </w:r>
      <w:r w:rsidR="00C92CD9">
        <w:rPr>
          <w:rFonts w:ascii="Stone Sans II ITC Com Bk" w:hAnsi="Stone Sans II ITC Com Bk"/>
          <w:b/>
          <w:bCs/>
          <w:sz w:val="24"/>
          <w:szCs w:val="24"/>
        </w:rPr>
        <w:t xml:space="preserve"> </w:t>
      </w:r>
    </w:p>
    <w:p w14:paraId="3D50D10D" w14:textId="77777777" w:rsidR="00B658EA" w:rsidRPr="00D8276B" w:rsidRDefault="00B658EA" w:rsidP="00B658EA">
      <w:pPr>
        <w:rPr>
          <w:rFonts w:ascii="Stone Sans II ITC Com Bk" w:hAnsi="Stone Sans II ITC Com Bk"/>
          <w:i/>
          <w:iCs/>
        </w:rPr>
      </w:pPr>
      <w:r>
        <w:rPr>
          <w:rFonts w:ascii="Stone Sans II ITC Com Bk" w:hAnsi="Stone Sans II ITC Com Bk"/>
          <w:i/>
          <w:iCs/>
        </w:rPr>
        <w:t>Neue Maßstäbe</w:t>
      </w:r>
      <w:r w:rsidRPr="00040B0D">
        <w:t xml:space="preserve"> </w:t>
      </w:r>
      <w:r w:rsidRPr="00040B0D">
        <w:rPr>
          <w:rFonts w:ascii="Stone Sans II ITC Com Bk" w:hAnsi="Stone Sans II ITC Com Bk"/>
          <w:i/>
          <w:iCs/>
        </w:rPr>
        <w:t>bei maximale</w:t>
      </w:r>
      <w:r>
        <w:rPr>
          <w:rFonts w:ascii="Stone Sans II ITC Com Bk" w:hAnsi="Stone Sans II ITC Com Bk"/>
          <w:i/>
          <w:iCs/>
        </w:rPr>
        <w:t>n</w:t>
      </w:r>
      <w:r w:rsidRPr="00040B0D">
        <w:rPr>
          <w:rFonts w:ascii="Stone Sans II ITC Com Bk" w:hAnsi="Stone Sans II ITC Com Bk"/>
          <w:i/>
          <w:iCs/>
        </w:rPr>
        <w:t xml:space="preserve"> Belastung</w:t>
      </w:r>
      <w:r>
        <w:rPr>
          <w:rFonts w:ascii="Stone Sans II ITC Com Bk" w:hAnsi="Stone Sans II ITC Com Bk"/>
          <w:i/>
          <w:iCs/>
        </w:rPr>
        <w:t>en</w:t>
      </w:r>
      <w:r w:rsidRPr="00040B0D">
        <w:rPr>
          <w:rFonts w:ascii="Stone Sans II ITC Com Bk" w:hAnsi="Stone Sans II ITC Com Bk"/>
          <w:i/>
          <w:iCs/>
        </w:rPr>
        <w:t xml:space="preserve"> und</w:t>
      </w:r>
      <w:r>
        <w:rPr>
          <w:rFonts w:ascii="Stone Sans II ITC Com Bk" w:hAnsi="Stone Sans II ITC Com Bk"/>
          <w:i/>
          <w:iCs/>
        </w:rPr>
        <w:t xml:space="preserve"> </w:t>
      </w:r>
      <w:r w:rsidRPr="00040B0D">
        <w:rPr>
          <w:rFonts w:ascii="Stone Sans II ITC Com Bk" w:hAnsi="Stone Sans II ITC Com Bk"/>
          <w:i/>
          <w:iCs/>
        </w:rPr>
        <w:t>höchsten Anforderungen</w:t>
      </w:r>
      <w:r w:rsidRPr="00D8276B">
        <w:rPr>
          <w:rFonts w:ascii="Stone Sans II ITC Com Bk" w:hAnsi="Stone Sans II ITC Com Bk"/>
          <w:i/>
          <w:iCs/>
        </w:rPr>
        <w:t xml:space="preserve"> in der Entwässerung von Schwerlastflächen mit der ACO DRAIN® Powerblock erreichen.</w:t>
      </w:r>
    </w:p>
    <w:p w14:paraId="5EE2029D" w14:textId="77777777" w:rsidR="00B658EA" w:rsidRPr="00612181" w:rsidRDefault="00B658EA" w:rsidP="00B658EA">
      <w:pPr>
        <w:rPr>
          <w:rFonts w:ascii="Stone Sans II ITC Com Bk" w:hAnsi="Stone Sans II ITC Com Bk"/>
        </w:rPr>
      </w:pPr>
      <w:r>
        <w:rPr>
          <w:rFonts w:ascii="Stone Sans II ITC Com Bk" w:hAnsi="Stone Sans II ITC Com Bk"/>
        </w:rPr>
        <w:t>O</w:t>
      </w:r>
      <w:r w:rsidRPr="008D636B">
        <w:rPr>
          <w:rFonts w:ascii="Stone Sans II ITC Com Bk" w:hAnsi="Stone Sans II ITC Com Bk"/>
        </w:rPr>
        <w:t>b auf Industriehöfen,</w:t>
      </w:r>
      <w:r>
        <w:rPr>
          <w:rFonts w:ascii="Stone Sans II ITC Com Bk" w:hAnsi="Stone Sans II ITC Com Bk"/>
        </w:rPr>
        <w:t xml:space="preserve"> </w:t>
      </w:r>
      <w:r w:rsidRPr="008D636B">
        <w:rPr>
          <w:rFonts w:ascii="Stone Sans II ITC Com Bk" w:hAnsi="Stone Sans II ITC Com Bk"/>
        </w:rPr>
        <w:t>in Seehäfen oder Containerdepots</w:t>
      </w:r>
      <w:r>
        <w:rPr>
          <w:rFonts w:ascii="Stone Sans II ITC Com Bk" w:hAnsi="Stone Sans II ITC Com Bk"/>
        </w:rPr>
        <w:t xml:space="preserve"> – die </w:t>
      </w:r>
      <w:r w:rsidRPr="008D636B">
        <w:rPr>
          <w:rFonts w:ascii="Stone Sans II ITC Com Bk" w:hAnsi="Stone Sans II ITC Com Bk"/>
        </w:rPr>
        <w:t>Schwergewichte</w:t>
      </w:r>
      <w:r>
        <w:rPr>
          <w:rFonts w:ascii="Stone Sans II ITC Com Bk" w:hAnsi="Stone Sans II ITC Com Bk"/>
        </w:rPr>
        <w:t xml:space="preserve">, wie </w:t>
      </w:r>
      <w:proofErr w:type="spellStart"/>
      <w:r>
        <w:rPr>
          <w:rFonts w:ascii="Stone Sans II ITC Com Bk" w:hAnsi="Stone Sans II ITC Com Bk"/>
        </w:rPr>
        <w:t>Reachtracker</w:t>
      </w:r>
      <w:proofErr w:type="spellEnd"/>
      <w:r w:rsidRPr="008D636B">
        <w:rPr>
          <w:rFonts w:ascii="Stone Sans II ITC Com Bk" w:hAnsi="Stone Sans II ITC Com Bk"/>
        </w:rPr>
        <w:t xml:space="preserve"> von bis zu 100 Tonnen</w:t>
      </w:r>
      <w:r>
        <w:rPr>
          <w:rFonts w:ascii="Stone Sans II ITC Com Bk" w:hAnsi="Stone Sans II ITC Com Bk"/>
        </w:rPr>
        <w:t xml:space="preserve"> sind permanent</w:t>
      </w:r>
      <w:r w:rsidRPr="008D636B">
        <w:rPr>
          <w:rFonts w:ascii="Stone Sans II ITC Com Bk" w:hAnsi="Stone Sans II ITC Com Bk"/>
        </w:rPr>
        <w:t xml:space="preserve"> unterwegs</w:t>
      </w:r>
      <w:r>
        <w:rPr>
          <w:rFonts w:ascii="Stone Sans II ITC Com Bk" w:hAnsi="Stone Sans II ITC Com Bk"/>
        </w:rPr>
        <w:t xml:space="preserve">. Sie </w:t>
      </w:r>
      <w:r w:rsidRPr="008D636B">
        <w:rPr>
          <w:rFonts w:ascii="Stone Sans II ITC Com Bk" w:hAnsi="Stone Sans II ITC Com Bk"/>
        </w:rPr>
        <w:t xml:space="preserve">rollen in </w:t>
      </w:r>
      <w:r>
        <w:rPr>
          <w:rFonts w:ascii="Stone Sans II ITC Com Bk" w:hAnsi="Stone Sans II ITC Com Bk"/>
        </w:rPr>
        <w:t>hoher</w:t>
      </w:r>
      <w:r w:rsidRPr="008D636B">
        <w:rPr>
          <w:rFonts w:ascii="Stone Sans II ITC Com Bk" w:hAnsi="Stone Sans II ITC Com Bk"/>
        </w:rPr>
        <w:t xml:space="preserve"> Frequenz über die Flächen,</w:t>
      </w:r>
      <w:r>
        <w:rPr>
          <w:rFonts w:ascii="Stone Sans II ITC Com Bk" w:hAnsi="Stone Sans II ITC Com Bk"/>
        </w:rPr>
        <w:t xml:space="preserve"> </w:t>
      </w:r>
      <w:r w:rsidRPr="008D636B">
        <w:rPr>
          <w:rFonts w:ascii="Stone Sans II ITC Com Bk" w:hAnsi="Stone Sans II ITC Com Bk"/>
        </w:rPr>
        <w:t>was zur Belastungsprobe für jedes Entwässerungssystem</w:t>
      </w:r>
      <w:r>
        <w:rPr>
          <w:rFonts w:ascii="Stone Sans II ITC Com Bk" w:hAnsi="Stone Sans II ITC Com Bk"/>
        </w:rPr>
        <w:t xml:space="preserve"> </w:t>
      </w:r>
      <w:r w:rsidRPr="008D636B">
        <w:rPr>
          <w:rFonts w:ascii="Stone Sans II ITC Com Bk" w:hAnsi="Stone Sans II ITC Com Bk"/>
        </w:rPr>
        <w:t xml:space="preserve">wird. </w:t>
      </w:r>
      <w:r>
        <w:rPr>
          <w:rFonts w:ascii="Stone Sans II ITC Com Bk" w:hAnsi="Stone Sans II ITC Com Bk"/>
        </w:rPr>
        <w:t>N</w:t>
      </w:r>
      <w:r w:rsidRPr="00B87DD3">
        <w:rPr>
          <w:rFonts w:ascii="Stone Sans II ITC Com Bk" w:hAnsi="Stone Sans II ITC Com Bk"/>
        </w:rPr>
        <w:t>eben maximalen</w:t>
      </w:r>
      <w:r>
        <w:rPr>
          <w:rFonts w:ascii="Stone Sans II ITC Com Bk" w:hAnsi="Stone Sans II ITC Com Bk"/>
        </w:rPr>
        <w:t xml:space="preserve"> P</w:t>
      </w:r>
      <w:r w:rsidRPr="00B87DD3">
        <w:rPr>
          <w:rFonts w:ascii="Stone Sans II ITC Com Bk" w:hAnsi="Stone Sans II ITC Com Bk"/>
        </w:rPr>
        <w:t xml:space="preserve">unktlasten </w:t>
      </w:r>
      <w:r>
        <w:rPr>
          <w:rFonts w:ascii="Stone Sans II ITC Com Bk" w:hAnsi="Stone Sans II ITC Com Bk"/>
        </w:rPr>
        <w:t xml:space="preserve">sind sie zudem </w:t>
      </w:r>
      <w:proofErr w:type="gramStart"/>
      <w:r w:rsidRPr="00B87DD3">
        <w:rPr>
          <w:rFonts w:ascii="Stone Sans II ITC Com Bk" w:hAnsi="Stone Sans II ITC Com Bk"/>
        </w:rPr>
        <w:t>extrem hohen</w:t>
      </w:r>
      <w:proofErr w:type="gramEnd"/>
      <w:r w:rsidRPr="00B87DD3">
        <w:rPr>
          <w:rFonts w:ascii="Stone Sans II ITC Com Bk" w:hAnsi="Stone Sans II ITC Com Bk"/>
        </w:rPr>
        <w:t xml:space="preserve"> dynamischen</w:t>
      </w:r>
      <w:r>
        <w:rPr>
          <w:rFonts w:ascii="Stone Sans II ITC Com Bk" w:hAnsi="Stone Sans II ITC Com Bk"/>
        </w:rPr>
        <w:t xml:space="preserve"> </w:t>
      </w:r>
      <w:r w:rsidRPr="00B87DD3">
        <w:rPr>
          <w:rFonts w:ascii="Stone Sans II ITC Com Bk" w:hAnsi="Stone Sans II ITC Com Bk"/>
        </w:rPr>
        <w:t>Kräften ausgesetzt</w:t>
      </w:r>
      <w:r>
        <w:rPr>
          <w:rFonts w:ascii="Stone Sans II ITC Com Bk" w:hAnsi="Stone Sans II ITC Com Bk"/>
        </w:rPr>
        <w:t>.</w:t>
      </w:r>
      <w:r w:rsidRPr="008D636B">
        <w:rPr>
          <w:rFonts w:ascii="Stone Sans II ITC Com Bk" w:hAnsi="Stone Sans II ITC Com Bk"/>
        </w:rPr>
        <w:t xml:space="preserve"> Anfahren, Lenken, Abbremsen – all das wirkt</w:t>
      </w:r>
      <w:r>
        <w:rPr>
          <w:rFonts w:ascii="Stone Sans II ITC Com Bk" w:hAnsi="Stone Sans II ITC Com Bk"/>
        </w:rPr>
        <w:t xml:space="preserve"> </w:t>
      </w:r>
      <w:r w:rsidRPr="008D636B">
        <w:rPr>
          <w:rFonts w:ascii="Stone Sans II ITC Com Bk" w:hAnsi="Stone Sans II ITC Com Bk"/>
        </w:rPr>
        <w:t xml:space="preserve">permanent auf </w:t>
      </w:r>
      <w:r w:rsidRPr="00612181">
        <w:rPr>
          <w:rFonts w:ascii="Stone Sans II ITC Com Bk" w:hAnsi="Stone Sans II ITC Com Bk"/>
        </w:rPr>
        <w:t xml:space="preserve">diese Systeme ein. So wie die horizontalen Schublasten, die zum Beispiel durch Wärmeausdehnungen der angeschlossenen Flächen entstehen. Auch das Wetter mischt mit – vor allem das raue </w:t>
      </w:r>
      <w:proofErr w:type="spellStart"/>
      <w:r w:rsidRPr="00612181">
        <w:rPr>
          <w:rFonts w:ascii="Stone Sans II ITC Com Bk" w:hAnsi="Stone Sans II ITC Com Bk"/>
        </w:rPr>
        <w:t>Seeklima</w:t>
      </w:r>
      <w:proofErr w:type="spellEnd"/>
      <w:r w:rsidRPr="00612181">
        <w:rPr>
          <w:rFonts w:ascii="Stone Sans II ITC Com Bk" w:hAnsi="Stone Sans II ITC Com Bk"/>
        </w:rPr>
        <w:t xml:space="preserve"> in den Häfen.</w:t>
      </w:r>
    </w:p>
    <w:p w14:paraId="342DFDF4" w14:textId="29D63A4E" w:rsidR="00E106D4" w:rsidRDefault="00C67646">
      <w:pPr>
        <w:rPr>
          <w:rFonts w:ascii="Stone Sans II ITC Com Bk" w:hAnsi="Stone Sans II ITC Com Bk"/>
          <w:b/>
          <w:bCs/>
        </w:rPr>
      </w:pPr>
      <w:r>
        <w:rPr>
          <w:rFonts w:ascii="Stone Sans II ITC Com Bk" w:hAnsi="Stone Sans II ITC Com Bk"/>
        </w:rPr>
        <w:t>Mit der</w:t>
      </w:r>
      <w:r w:rsidR="00B658EA" w:rsidRPr="00612181">
        <w:rPr>
          <w:rFonts w:ascii="Stone Sans II ITC Com Bk" w:hAnsi="Stone Sans II ITC Com Bk"/>
        </w:rPr>
        <w:t xml:space="preserve"> neue</w:t>
      </w:r>
      <w:r>
        <w:rPr>
          <w:rFonts w:ascii="Stone Sans II ITC Com Bk" w:hAnsi="Stone Sans II ITC Com Bk"/>
        </w:rPr>
        <w:t>n</w:t>
      </w:r>
      <w:r w:rsidR="00B658EA" w:rsidRPr="00612181">
        <w:rPr>
          <w:rFonts w:ascii="Stone Sans II ITC Com Bk" w:hAnsi="Stone Sans II ITC Com Bk"/>
        </w:rPr>
        <w:t xml:space="preserve"> Rinnengeneration für </w:t>
      </w:r>
      <w:r w:rsidR="00B658EA">
        <w:rPr>
          <w:rFonts w:ascii="Stone Sans II ITC Com Bk" w:hAnsi="Stone Sans II ITC Com Bk"/>
        </w:rPr>
        <w:t xml:space="preserve">Schwerlastflächen </w:t>
      </w:r>
      <w:r>
        <w:rPr>
          <w:rFonts w:ascii="Stone Sans II ITC Com Bk" w:hAnsi="Stone Sans II ITC Com Bk"/>
        </w:rPr>
        <w:t>setzt ACO</w:t>
      </w:r>
      <w:r w:rsidR="00B658EA">
        <w:rPr>
          <w:rFonts w:ascii="Stone Sans II ITC Com Bk" w:hAnsi="Stone Sans II ITC Com Bk"/>
        </w:rPr>
        <w:t xml:space="preserve"> </w:t>
      </w:r>
      <w:r w:rsidR="00B658EA" w:rsidRPr="00EB2E1A">
        <w:rPr>
          <w:rFonts w:ascii="Stone Sans II ITC Com Bk" w:hAnsi="Stone Sans II ITC Com Bk"/>
        </w:rPr>
        <w:t>eigene</w:t>
      </w:r>
      <w:r w:rsidR="00B658EA">
        <w:rPr>
          <w:rFonts w:ascii="Stone Sans II ITC Com Bk" w:hAnsi="Stone Sans II ITC Com Bk"/>
        </w:rPr>
        <w:t xml:space="preserve"> neue Maßstäbe in der Entwässerung. Die ACO Ingenieure haben die positiven Eigenschaften der </w:t>
      </w:r>
      <w:r w:rsidR="00CB6233">
        <w:rPr>
          <w:rFonts w:ascii="Stone Sans II ITC Com Bk" w:hAnsi="Stone Sans II ITC Com Bk"/>
        </w:rPr>
        <w:t xml:space="preserve">Rinnensysteme </w:t>
      </w:r>
      <w:r w:rsidR="00B658EA">
        <w:rPr>
          <w:rFonts w:ascii="Stone Sans II ITC Com Bk" w:hAnsi="Stone Sans II ITC Com Bk"/>
        </w:rPr>
        <w:t xml:space="preserve">ACO DRAIN® Monoblock und der ACO DRAIN® </w:t>
      </w:r>
      <w:proofErr w:type="spellStart"/>
      <w:r w:rsidR="00B658EA">
        <w:rPr>
          <w:rFonts w:ascii="Stone Sans II ITC Com Bk" w:hAnsi="Stone Sans II ITC Com Bk"/>
        </w:rPr>
        <w:t>PowerDrain</w:t>
      </w:r>
      <w:proofErr w:type="spellEnd"/>
      <w:r w:rsidR="00B658EA">
        <w:rPr>
          <w:rFonts w:ascii="Stone Sans II ITC Com Bk" w:hAnsi="Stone Sans II ITC Com Bk"/>
        </w:rPr>
        <w:t xml:space="preserve"> vereint. Herausgekommen ist „Von allem das Beste“- die monolithische </w:t>
      </w:r>
      <w:r w:rsidR="00B658EA" w:rsidRPr="00F65289">
        <w:rPr>
          <w:rFonts w:ascii="Stone Sans II ITC Com Bk" w:hAnsi="Stone Sans II ITC Com Bk"/>
        </w:rPr>
        <w:t>Schwerlastrinne</w:t>
      </w:r>
      <w:r w:rsidR="00B658EA">
        <w:rPr>
          <w:rFonts w:ascii="Stone Sans II ITC Com Bk" w:hAnsi="Stone Sans II ITC Com Bk"/>
        </w:rPr>
        <w:t xml:space="preserve"> </w:t>
      </w:r>
      <w:r w:rsidR="00B658EA" w:rsidRPr="002136AE">
        <w:rPr>
          <w:rFonts w:ascii="Stone Sans II ITC Com Bk" w:hAnsi="Stone Sans II ITC Com Bk"/>
          <w:b/>
          <w:bCs/>
        </w:rPr>
        <w:t>ACO DRAIN® Powerblock</w:t>
      </w:r>
      <w:r w:rsidR="00B658EA">
        <w:rPr>
          <w:rFonts w:ascii="Stone Sans II ITC Com Bk" w:hAnsi="Stone Sans II ITC Com Bk"/>
        </w:rPr>
        <w:t xml:space="preserve">. Sie ist speziell für Anwendungen der Klasse F 900 und darüber hinaus konzipiert. Die Kennzeichnung mit dem Logo „ACO 1000“ beinhaltet eine – über die Normklasse F 900 gemäß DIN EN 1433 hinausgehende – eigene Prüfkraft von 1000 kN. </w:t>
      </w:r>
    </w:p>
    <w:p w14:paraId="3872DF73" w14:textId="121469DD" w:rsidR="00B658EA" w:rsidRPr="00C54025" w:rsidRDefault="00B658EA" w:rsidP="00B658EA">
      <w:pPr>
        <w:rPr>
          <w:rFonts w:ascii="Stone Sans II ITC Com Bk" w:hAnsi="Stone Sans II ITC Com Bk"/>
          <w:b/>
          <w:bCs/>
        </w:rPr>
      </w:pPr>
      <w:r w:rsidRPr="00C54025">
        <w:rPr>
          <w:rFonts w:ascii="Stone Sans II ITC Com Bk" w:hAnsi="Stone Sans II ITC Com Bk"/>
          <w:b/>
          <w:bCs/>
        </w:rPr>
        <w:t>Maximale Belastungen und höchste Anforderungen</w:t>
      </w:r>
    </w:p>
    <w:p w14:paraId="29F31A7E" w14:textId="49CB8A8D" w:rsidR="00B658EA" w:rsidRDefault="00B658EA" w:rsidP="00B658EA">
      <w:pPr>
        <w:rPr>
          <w:rFonts w:ascii="Stone Sans II ITC Com Bk" w:hAnsi="Stone Sans II ITC Com Bk"/>
        </w:rPr>
      </w:pPr>
      <w:r>
        <w:rPr>
          <w:rFonts w:ascii="Stone Sans II ITC Com Bk" w:hAnsi="Stone Sans II ITC Com Bk"/>
        </w:rPr>
        <w:t>Hohe Punktlasten und hohe dynamische Kräfte wirken auf die Entwässerungsrinnen. Dank der monolithischen Bauweise der ACO Powerlock</w:t>
      </w:r>
      <w:r w:rsidRPr="00F5393C">
        <w:rPr>
          <w:rFonts w:ascii="Stone Sans II ITC Com Bk" w:hAnsi="Stone Sans II ITC Com Bk"/>
        </w:rPr>
        <w:t xml:space="preserve"> </w:t>
      </w:r>
      <w:r>
        <w:rPr>
          <w:rFonts w:ascii="Stone Sans II ITC Com Bk" w:hAnsi="Stone Sans II ITC Com Bk"/>
        </w:rPr>
        <w:t xml:space="preserve">inklusive dem fest eingegossenen </w:t>
      </w:r>
      <w:proofErr w:type="spellStart"/>
      <w:r>
        <w:rPr>
          <w:rFonts w:ascii="Stone Sans II ITC Com Bk" w:hAnsi="Stone Sans II ITC Com Bk"/>
        </w:rPr>
        <w:t>Gussrost</w:t>
      </w:r>
      <w:proofErr w:type="spellEnd"/>
      <w:r>
        <w:rPr>
          <w:rFonts w:ascii="Stone Sans II ITC Com Bk" w:hAnsi="Stone Sans II ITC Com Bk"/>
        </w:rPr>
        <w:t xml:space="preserve"> ist höchste Stabilität garantiert. Auch Abplatzungen der Rinnenoberfläche durch Container oder scharfkantige Gegenstände gehören der Vergangenheit an. Die massive gusseisernen Abdeckung hält den Anforderungen stand. </w:t>
      </w:r>
    </w:p>
    <w:p w14:paraId="6E4C13D6" w14:textId="77777777" w:rsidR="00B658EA" w:rsidRDefault="00B658EA" w:rsidP="00B658EA">
      <w:pPr>
        <w:rPr>
          <w:rFonts w:ascii="Stone Sans II ITC Com Bk" w:hAnsi="Stone Sans II ITC Com Bk"/>
        </w:rPr>
      </w:pPr>
      <w:r>
        <w:rPr>
          <w:rFonts w:ascii="Stone Sans II ITC Com Bk" w:hAnsi="Stone Sans II ITC Com Bk"/>
        </w:rPr>
        <w:t xml:space="preserve">Gerade in der heutigen Zeit spielt ein kostengünstiger Einbau oftmals eine entscheidende Rolle. Die ACO Powerblock wird nach DIN EN 1433 - Typ I </w:t>
      </w:r>
      <w:r w:rsidRPr="00612181">
        <w:rPr>
          <w:rFonts w:ascii="Stone Sans II ITC Com Bk" w:hAnsi="Stone Sans II ITC Com Bk"/>
        </w:rPr>
        <w:t>zertifiziert</w:t>
      </w:r>
      <w:r>
        <w:rPr>
          <w:rFonts w:ascii="Stone Sans II ITC Com Bk" w:hAnsi="Stone Sans II ITC Com Bk"/>
        </w:rPr>
        <w:t xml:space="preserve">. Sie benötigt somit </w:t>
      </w:r>
      <w:r>
        <w:rPr>
          <w:rFonts w:ascii="Stone Sans II ITC Com Bk" w:hAnsi="Stone Sans II ITC Com Bk"/>
        </w:rPr>
        <w:lastRenderedPageBreak/>
        <w:t>lediglich ein minimal erforderlicher Bettungsbeton für die maximale statische Standsicherheit des Untergrunds. Ein direktes Anarbeiten der Oberflächenbeläge wie Asphalt oder Beton ist möglich. Ebenso ist ein Arbeiten mit Raumfugen realisierbar.</w:t>
      </w:r>
    </w:p>
    <w:p w14:paraId="48464011" w14:textId="1A3587F9" w:rsidR="00A165AE" w:rsidRPr="00A165AE" w:rsidRDefault="00A165AE" w:rsidP="00B658EA">
      <w:pPr>
        <w:rPr>
          <w:rFonts w:ascii="Stone Sans II ITC Com Bk" w:hAnsi="Stone Sans II ITC Com Bk"/>
          <w:b/>
          <w:bCs/>
        </w:rPr>
      </w:pPr>
      <w:r w:rsidRPr="00A165AE">
        <w:rPr>
          <w:rFonts w:ascii="Stone Sans II ITC Com Bk" w:hAnsi="Stone Sans II ITC Com Bk"/>
          <w:b/>
          <w:bCs/>
        </w:rPr>
        <w:t>Ein dichtes Rinnensystem für den Gewässerschutz</w:t>
      </w:r>
    </w:p>
    <w:p w14:paraId="77A1DE31" w14:textId="77777777" w:rsidR="00B658EA" w:rsidRDefault="00B658EA" w:rsidP="00B658EA">
      <w:pPr>
        <w:rPr>
          <w:rFonts w:ascii="Stone Sans II ITC Com Bk" w:hAnsi="Stone Sans II ITC Com Bk"/>
        </w:rPr>
      </w:pPr>
      <w:r>
        <w:rPr>
          <w:rFonts w:ascii="Stone Sans II ITC Com Bk" w:hAnsi="Stone Sans II ITC Com Bk"/>
        </w:rPr>
        <w:t xml:space="preserve">Reifenabrieb, Schwebstoffe und Partikel fallen auf den Schwerlastflächen in großen Mengen an. Darum stand bei der Entwicklung der ACO Powerlock die Dichtheit mit im Vordergrund. So sind die Rinnenelemente mit einer serienmäßig integrierten Dichtung am Rinnenstoß ausgestattet. Das Oberflächenwasser wird aufgenommen, um vollständig an die dahinter geschalteten Systeme weitergeleitet werden zu können. Und bei Starkregen nimmt die Powerlock dank ihres großen </w:t>
      </w:r>
      <w:r w:rsidRPr="00612181">
        <w:rPr>
          <w:rFonts w:ascii="Stone Sans II ITC Com Bk" w:hAnsi="Stone Sans II ITC Com Bk"/>
        </w:rPr>
        <w:t xml:space="preserve">Einlaufquerschnittes von fast 900cm²/m </w:t>
      </w:r>
      <w:r>
        <w:rPr>
          <w:rFonts w:ascii="Stone Sans II ITC Com Bk" w:hAnsi="Stone Sans II ITC Com Bk"/>
        </w:rPr>
        <w:t>– Nennweite 200 – die Wassermengen sicher auf.</w:t>
      </w:r>
    </w:p>
    <w:p w14:paraId="17D5FBE8" w14:textId="452A1A48" w:rsidR="00B658EA" w:rsidRDefault="00B658EA" w:rsidP="00B658EA">
      <w:pPr>
        <w:rPr>
          <w:rFonts w:ascii="Stone Sans II ITC Com Bk" w:hAnsi="Stone Sans II ITC Com Bk"/>
        </w:rPr>
      </w:pPr>
      <w:r>
        <w:rPr>
          <w:rFonts w:ascii="Stone Sans II ITC Com Bk" w:hAnsi="Stone Sans II ITC Com Bk"/>
        </w:rPr>
        <w:t>Mit der ACO Power</w:t>
      </w:r>
      <w:r w:rsidR="00ED142A">
        <w:rPr>
          <w:rFonts w:ascii="Stone Sans II ITC Com Bk" w:hAnsi="Stone Sans II ITC Com Bk"/>
        </w:rPr>
        <w:t>bl</w:t>
      </w:r>
      <w:r>
        <w:rPr>
          <w:rFonts w:ascii="Stone Sans II ITC Com Bk" w:hAnsi="Stone Sans II ITC Com Bk"/>
        </w:rPr>
        <w:t>ock ist ein Rinnensystem geschaffen, das ein nachhaltiges Regenwassermanagement unter schwersten Bedingungen möglich macht</w:t>
      </w:r>
      <w:r w:rsidR="00ED142A">
        <w:rPr>
          <w:rFonts w:ascii="Stone Sans II ITC Com Bk" w:hAnsi="Stone Sans II ITC Com Bk"/>
        </w:rPr>
        <w:t>.</w:t>
      </w:r>
    </w:p>
    <w:p w14:paraId="072DC1BC" w14:textId="3FC031C7" w:rsidR="00B658EA" w:rsidRDefault="00B658EA" w:rsidP="00B658EA">
      <w:pPr>
        <w:rPr>
          <w:rFonts w:ascii="Stone Sans II ITC Com Bk" w:hAnsi="Stone Sans II ITC Com Bk"/>
        </w:rPr>
      </w:pPr>
      <w:r>
        <w:rPr>
          <w:rFonts w:ascii="Stone Sans II ITC Com Bk" w:hAnsi="Stone Sans II ITC Com Bk"/>
        </w:rPr>
        <w:t xml:space="preserve">Mehr erfahren unter: </w:t>
      </w:r>
      <w:hyperlink r:id="rId12" w:history="1">
        <w:r w:rsidR="00E106D4" w:rsidRPr="00C81295">
          <w:rPr>
            <w:rStyle w:val="Hyperlink"/>
            <w:rFonts w:ascii="Stone Sans II ITC Com Bk" w:hAnsi="Stone Sans II ITC Com Bk"/>
          </w:rPr>
          <w:t>www.aco.de/powerblock</w:t>
        </w:r>
      </w:hyperlink>
      <w:r>
        <w:rPr>
          <w:rFonts w:ascii="Stone Sans II ITC Com Bk" w:hAnsi="Stone Sans II ITC Com Bk"/>
        </w:rPr>
        <w:t>.</w:t>
      </w:r>
    </w:p>
    <w:p w14:paraId="016E0398" w14:textId="77777777" w:rsidR="00B658EA" w:rsidRDefault="00B658EA" w:rsidP="00B658EA">
      <w:pPr>
        <w:rPr>
          <w:rFonts w:ascii="Stone Sans II ITC Com Bk" w:hAnsi="Stone Sans II ITC Com Bk"/>
        </w:rPr>
      </w:pPr>
    </w:p>
    <w:p w14:paraId="748C9DD4" w14:textId="6C701043" w:rsidR="00B658EA" w:rsidRDefault="00B658EA" w:rsidP="00B658EA">
      <w:pPr>
        <w:rPr>
          <w:rFonts w:ascii="Stone Sans II ITC Com Bk" w:hAnsi="Stone Sans II ITC Com Bk"/>
        </w:rPr>
      </w:pPr>
      <w:r>
        <w:rPr>
          <w:rFonts w:ascii="Stone Sans II ITC Com Bk" w:hAnsi="Stone Sans II ITC Com Bk"/>
        </w:rPr>
        <w:t xml:space="preserve">(ca. </w:t>
      </w:r>
      <w:r w:rsidR="00ED142A">
        <w:rPr>
          <w:rFonts w:ascii="Stone Sans II ITC Com Bk" w:hAnsi="Stone Sans II ITC Com Bk"/>
        </w:rPr>
        <w:t>2.979</w:t>
      </w:r>
      <w:r>
        <w:rPr>
          <w:rFonts w:ascii="Stone Sans II ITC Com Bk" w:hAnsi="Stone Sans II ITC Com Bk"/>
        </w:rPr>
        <w:t xml:space="preserve"> Zeichen)</w:t>
      </w:r>
    </w:p>
    <w:p w14:paraId="7085F152" w14:textId="0A9F7124" w:rsidR="00A5514E" w:rsidRDefault="00A5514E" w:rsidP="00F05BFD">
      <w:pPr>
        <w:pStyle w:val="Default"/>
        <w:spacing w:line="360" w:lineRule="auto"/>
        <w:rPr>
          <w:rFonts w:ascii="Stone Sans II ITC Com Lt" w:hAnsi="Stone Sans II ITC Com Lt"/>
          <w:iCs/>
          <w:sz w:val="20"/>
          <w:szCs w:val="20"/>
        </w:rPr>
      </w:pPr>
    </w:p>
    <w:p w14:paraId="17B5CF08" w14:textId="7E8D9497" w:rsidR="00AD5F9C" w:rsidRDefault="003B4C8D" w:rsidP="00F05BFD">
      <w:pPr>
        <w:pStyle w:val="Default"/>
        <w:spacing w:line="360" w:lineRule="auto"/>
        <w:rPr>
          <w:rFonts w:ascii="Stone Sans II ITC Com Lt" w:hAnsi="Stone Sans II ITC Com Lt"/>
          <w:iCs/>
          <w:sz w:val="20"/>
          <w:szCs w:val="20"/>
        </w:rPr>
      </w:pPr>
      <w:r>
        <w:rPr>
          <w:rFonts w:ascii="Stone Sans II ITC Com Lt" w:hAnsi="Stone Sans II ITC Com Lt"/>
          <w:iCs/>
          <w:noProof/>
          <w:sz w:val="20"/>
          <w:szCs w:val="20"/>
        </w:rPr>
        <mc:AlternateContent>
          <mc:Choice Requires="wps">
            <w:drawing>
              <wp:anchor distT="0" distB="0" distL="114300" distR="114300" simplePos="0" relativeHeight="251659264" behindDoc="0" locked="0" layoutInCell="1" allowOverlap="1" wp14:anchorId="41B1D0AC" wp14:editId="447A7E79">
                <wp:simplePos x="0" y="0"/>
                <wp:positionH relativeFrom="margin">
                  <wp:align>left</wp:align>
                </wp:positionH>
                <wp:positionV relativeFrom="paragraph">
                  <wp:posOffset>197697</wp:posOffset>
                </wp:positionV>
                <wp:extent cx="5889326" cy="1847850"/>
                <wp:effectExtent l="0" t="0" r="16510" b="19050"/>
                <wp:wrapNone/>
                <wp:docPr id="16" name="Textfeld 16"/>
                <wp:cNvGraphicFramePr/>
                <a:graphic xmlns:a="http://schemas.openxmlformats.org/drawingml/2006/main">
                  <a:graphicData uri="http://schemas.microsoft.com/office/word/2010/wordprocessingShape">
                    <wps:wsp>
                      <wps:cNvSpPr txBox="1"/>
                      <wps:spPr>
                        <a:xfrm>
                          <a:off x="0" y="0"/>
                          <a:ext cx="5889326" cy="1847850"/>
                        </a:xfrm>
                        <a:prstGeom prst="rect">
                          <a:avLst/>
                        </a:prstGeom>
                        <a:solidFill>
                          <a:schemeClr val="lt1"/>
                        </a:solidFill>
                        <a:ln w="6350">
                          <a:solidFill>
                            <a:srgbClr val="0070C0"/>
                          </a:solidFill>
                        </a:ln>
                      </wps:spPr>
                      <wps:txbx>
                        <w:txbxContent>
                          <w:p w14:paraId="7A6605BF" w14:textId="55C7F6EB" w:rsidR="00DE4604" w:rsidRPr="00BD54FA" w:rsidRDefault="00DE4604" w:rsidP="00DE4604">
                            <w:pPr>
                              <w:rPr>
                                <w:rFonts w:ascii="Stone Sans II ITC Com Lt" w:hAnsi="Stone Sans II ITC Com Lt"/>
                                <w:iCs/>
                                <w:sz w:val="20"/>
                                <w:szCs w:val="20"/>
                              </w:rPr>
                            </w:pPr>
                            <w:r w:rsidRPr="00BD54FA">
                              <w:rPr>
                                <w:rFonts w:ascii="Stone Sans II ITC Com Lt" w:hAnsi="Stone Sans II ITC Com Lt"/>
                                <w:b/>
                                <w:bCs/>
                                <w:iCs/>
                                <w:sz w:val="20"/>
                                <w:szCs w:val="20"/>
                              </w:rPr>
                              <w:t>Die ACO GmbH</w:t>
                            </w:r>
                            <w:r>
                              <w:rPr>
                                <w:rFonts w:ascii="Stone Sans II ITC Com Lt" w:hAnsi="Stone Sans II ITC Com Lt"/>
                                <w:iCs/>
                                <w:sz w:val="20"/>
                                <w:szCs w:val="20"/>
                              </w:rPr>
                              <w:br/>
                            </w:r>
                            <w:r w:rsidR="00472784" w:rsidRPr="00472784">
                              <w:rPr>
                                <w:rFonts w:ascii="Stone Sans II ITC Com Lt" w:hAnsi="Stone Sans II ITC Com Lt"/>
                                <w:iCs/>
                                <w:sz w:val="20"/>
                                <w:szCs w:val="20"/>
                              </w:rPr>
                              <w:t>Als Teil der weltweiten ACO Gruppe gehört die ACO GmbH zu den führenden Anbietern ganzheitlicher Systemlösungen rund um die klimaresiliente Freiraum-, Infrastruktur- und Gebäudeplanung</w:t>
                            </w:r>
                            <w:r w:rsidR="00901416">
                              <w:rPr>
                                <w:rFonts w:ascii="Stone Sans II ITC Com Lt" w:hAnsi="Stone Sans II ITC Com Lt"/>
                                <w:iCs/>
                                <w:sz w:val="20"/>
                                <w:szCs w:val="20"/>
                              </w:rPr>
                              <w:t xml:space="preserve">. </w:t>
                            </w:r>
                            <w:r w:rsidR="00472784" w:rsidRPr="00472784">
                              <w:rPr>
                                <w:rFonts w:ascii="Stone Sans II ITC Com Lt" w:hAnsi="Stone Sans II ITC Com Lt"/>
                                <w:iCs/>
                                <w:sz w:val="20"/>
                                <w:szCs w:val="20"/>
                              </w:rPr>
                              <w:t xml:space="preserve">Der nachhaltige Umgang mit der wertvollen Ressource Wasser, verdeutlicht durch den Claim „ACO. </w:t>
                            </w:r>
                            <w:proofErr w:type="spellStart"/>
                            <w:r w:rsidR="00472784" w:rsidRPr="00472784">
                              <w:rPr>
                                <w:rFonts w:ascii="Stone Sans II ITC Com Lt" w:hAnsi="Stone Sans II ITC Com Lt"/>
                                <w:iCs/>
                                <w:sz w:val="20"/>
                                <w:szCs w:val="20"/>
                              </w:rPr>
                              <w:t>we</w:t>
                            </w:r>
                            <w:proofErr w:type="spellEnd"/>
                            <w:r w:rsidR="00472784" w:rsidRPr="00472784">
                              <w:rPr>
                                <w:rFonts w:ascii="Stone Sans II ITC Com Lt" w:hAnsi="Stone Sans II ITC Com Lt"/>
                                <w:iCs/>
                                <w:sz w:val="20"/>
                                <w:szCs w:val="20"/>
                              </w:rPr>
                              <w:t xml:space="preserve"> care </w:t>
                            </w:r>
                            <w:proofErr w:type="spellStart"/>
                            <w:r w:rsidR="00472784" w:rsidRPr="00472784">
                              <w:rPr>
                                <w:rFonts w:ascii="Stone Sans II ITC Com Lt" w:hAnsi="Stone Sans II ITC Com Lt"/>
                                <w:iCs/>
                                <w:sz w:val="20"/>
                                <w:szCs w:val="20"/>
                              </w:rPr>
                              <w:t>for</w:t>
                            </w:r>
                            <w:proofErr w:type="spellEnd"/>
                            <w:r w:rsidR="00472784" w:rsidRPr="00472784">
                              <w:rPr>
                                <w:rFonts w:ascii="Stone Sans II ITC Com Lt" w:hAnsi="Stone Sans II ITC Com Lt"/>
                                <w:iCs/>
                                <w:sz w:val="20"/>
                                <w:szCs w:val="20"/>
                              </w:rPr>
                              <w:t xml:space="preserve"> </w:t>
                            </w:r>
                            <w:proofErr w:type="spellStart"/>
                            <w:r w:rsidR="00472784" w:rsidRPr="00472784">
                              <w:rPr>
                                <w:rFonts w:ascii="Stone Sans II ITC Com Lt" w:hAnsi="Stone Sans II ITC Com Lt"/>
                                <w:iCs/>
                                <w:sz w:val="20"/>
                                <w:szCs w:val="20"/>
                              </w:rPr>
                              <w:t>water</w:t>
                            </w:r>
                            <w:proofErr w:type="spellEnd"/>
                            <w:r w:rsidR="00472784" w:rsidRPr="00472784">
                              <w:rPr>
                                <w:rFonts w:ascii="Stone Sans II ITC Com Lt" w:hAnsi="Stone Sans II ITC Com Lt"/>
                                <w:iCs/>
                                <w:sz w:val="20"/>
                                <w:szCs w:val="20"/>
                              </w:rPr>
                              <w:t xml:space="preserve">“, steht im Mittelpunkt aller Unternehmensaktivitäten. Mit dem ACO </w:t>
                            </w:r>
                            <w:proofErr w:type="spellStart"/>
                            <w:r w:rsidR="00472784" w:rsidRPr="00472784">
                              <w:rPr>
                                <w:rFonts w:ascii="Stone Sans II ITC Com Lt" w:hAnsi="Stone Sans II ITC Com Lt"/>
                                <w:iCs/>
                                <w:sz w:val="20"/>
                                <w:szCs w:val="20"/>
                              </w:rPr>
                              <w:t>WaterCycle</w:t>
                            </w:r>
                            <w:proofErr w:type="spellEnd"/>
                            <w:r w:rsidR="00472784" w:rsidRPr="00472784">
                              <w:rPr>
                                <w:rFonts w:ascii="Stone Sans II ITC Com Lt" w:hAnsi="Stone Sans II ITC Com Lt"/>
                                <w:iCs/>
                                <w:sz w:val="20"/>
                                <w:szCs w:val="20"/>
                              </w:rPr>
                              <w:t xml:space="preserve"> bietet das Unternehmen ein breites Spektrum an Systemlösungen, um Oberflächenwasser oder Abwasser zu sammeln, aufzubereiten, zurückzuhalten und wieder zur Verfügung zu stellen. Darüber hinaus berät und unterstützt ein starkes Außen- und Innendienstteam alle Objektbeteiligten in jeder Projektphase.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B1D0AC" id="_x0000_t202" coordsize="21600,21600" o:spt="202" path="m,l,21600r21600,l21600,xe">
                <v:stroke joinstyle="miter"/>
                <v:path gradientshapeok="t" o:connecttype="rect"/>
              </v:shapetype>
              <v:shape id="Textfeld 16" o:spid="_x0000_s1026" type="#_x0000_t202" style="position:absolute;margin-left:0;margin-top:15.55pt;width:463.75pt;height:145.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" fillcolor="white [3201]" strokecolor="#0070c0" strokeweight=".5pt">
                <v:textbox>
                  <w:txbxContent>
                    <w:p w14:paraId="7A6605BF" w14:textId="55C7F6EB" w:rsidR="00DE4604" w:rsidRPr="00BD54FA" w:rsidRDefault="00DE4604" w:rsidP="00DE4604">
                      <w:pPr>
                        <w:rPr>
                          <w:rFonts w:ascii="Stone Sans II ITC Com Lt" w:hAnsi="Stone Sans II ITC Com Lt"/>
                          <w:iCs/>
                          <w:sz w:val="20"/>
                          <w:szCs w:val="20"/>
                        </w:rPr>
                      </w:pPr>
                      <w:r w:rsidRPr="00BD54FA">
                        <w:rPr>
                          <w:rFonts w:ascii="Stone Sans II ITC Com Lt" w:hAnsi="Stone Sans II ITC Com Lt"/>
                          <w:b/>
                          <w:bCs/>
                          <w:iCs/>
                          <w:sz w:val="20"/>
                          <w:szCs w:val="20"/>
                        </w:rPr>
                        <w:t>Die ACO GmbH</w:t>
                      </w:r>
                      <w:r>
                        <w:rPr>
                          <w:rFonts w:ascii="Stone Sans II ITC Com Lt" w:hAnsi="Stone Sans II ITC Com Lt"/>
                          <w:iCs/>
                          <w:sz w:val="20"/>
                          <w:szCs w:val="20"/>
                        </w:rPr>
                        <w:br/>
                      </w:r>
                      <w:r w:rsidR="00472784" w:rsidRPr="00472784">
                        <w:rPr>
                          <w:rFonts w:ascii="Stone Sans II ITC Com Lt" w:hAnsi="Stone Sans II ITC Com Lt"/>
                          <w:iCs/>
                          <w:sz w:val="20"/>
                          <w:szCs w:val="20"/>
                        </w:rPr>
                        <w:t>Als Teil der weltweiten ACO Gruppe gehört die ACO GmbH zu den führenden Anbietern ganzheitlicher Systemlösungen rund um die klimaresiliente Freiraum-, Infrastruktur- und Gebäudeplanung</w:t>
                      </w:r>
                      <w:r w:rsidR="00901416">
                        <w:rPr>
                          <w:rFonts w:ascii="Stone Sans II ITC Com Lt" w:hAnsi="Stone Sans II ITC Com Lt"/>
                          <w:iCs/>
                          <w:sz w:val="20"/>
                          <w:szCs w:val="20"/>
                        </w:rPr>
                        <w:t xml:space="preserve">. </w:t>
                      </w:r>
                      <w:r w:rsidR="00472784" w:rsidRPr="00472784">
                        <w:rPr>
                          <w:rFonts w:ascii="Stone Sans II ITC Com Lt" w:hAnsi="Stone Sans II ITC Com Lt"/>
                          <w:iCs/>
                          <w:sz w:val="20"/>
                          <w:szCs w:val="20"/>
                        </w:rPr>
                        <w:t xml:space="preserve">Der nachhaltige Umgang mit der wertvollen Ressource Wasser, verdeutlicht durch den Claim „ACO. </w:t>
                      </w:r>
                      <w:proofErr w:type="spellStart"/>
                      <w:r w:rsidR="00472784" w:rsidRPr="00472784">
                        <w:rPr>
                          <w:rFonts w:ascii="Stone Sans II ITC Com Lt" w:hAnsi="Stone Sans II ITC Com Lt"/>
                          <w:iCs/>
                          <w:sz w:val="20"/>
                          <w:szCs w:val="20"/>
                        </w:rPr>
                        <w:t>we</w:t>
                      </w:r>
                      <w:proofErr w:type="spellEnd"/>
                      <w:r w:rsidR="00472784" w:rsidRPr="00472784">
                        <w:rPr>
                          <w:rFonts w:ascii="Stone Sans II ITC Com Lt" w:hAnsi="Stone Sans II ITC Com Lt"/>
                          <w:iCs/>
                          <w:sz w:val="20"/>
                          <w:szCs w:val="20"/>
                        </w:rPr>
                        <w:t xml:space="preserve"> care </w:t>
                      </w:r>
                      <w:proofErr w:type="spellStart"/>
                      <w:r w:rsidR="00472784" w:rsidRPr="00472784">
                        <w:rPr>
                          <w:rFonts w:ascii="Stone Sans II ITC Com Lt" w:hAnsi="Stone Sans II ITC Com Lt"/>
                          <w:iCs/>
                          <w:sz w:val="20"/>
                          <w:szCs w:val="20"/>
                        </w:rPr>
                        <w:t>for</w:t>
                      </w:r>
                      <w:proofErr w:type="spellEnd"/>
                      <w:r w:rsidR="00472784" w:rsidRPr="00472784">
                        <w:rPr>
                          <w:rFonts w:ascii="Stone Sans II ITC Com Lt" w:hAnsi="Stone Sans II ITC Com Lt"/>
                          <w:iCs/>
                          <w:sz w:val="20"/>
                          <w:szCs w:val="20"/>
                        </w:rPr>
                        <w:t xml:space="preserve"> </w:t>
                      </w:r>
                      <w:proofErr w:type="spellStart"/>
                      <w:r w:rsidR="00472784" w:rsidRPr="00472784">
                        <w:rPr>
                          <w:rFonts w:ascii="Stone Sans II ITC Com Lt" w:hAnsi="Stone Sans II ITC Com Lt"/>
                          <w:iCs/>
                          <w:sz w:val="20"/>
                          <w:szCs w:val="20"/>
                        </w:rPr>
                        <w:t>water</w:t>
                      </w:r>
                      <w:proofErr w:type="spellEnd"/>
                      <w:r w:rsidR="00472784" w:rsidRPr="00472784">
                        <w:rPr>
                          <w:rFonts w:ascii="Stone Sans II ITC Com Lt" w:hAnsi="Stone Sans II ITC Com Lt"/>
                          <w:iCs/>
                          <w:sz w:val="20"/>
                          <w:szCs w:val="20"/>
                        </w:rPr>
                        <w:t xml:space="preserve">“, steht im Mittelpunkt aller Unternehmensaktivitäten. Mit dem ACO </w:t>
                      </w:r>
                      <w:proofErr w:type="spellStart"/>
                      <w:r w:rsidR="00472784" w:rsidRPr="00472784">
                        <w:rPr>
                          <w:rFonts w:ascii="Stone Sans II ITC Com Lt" w:hAnsi="Stone Sans II ITC Com Lt"/>
                          <w:iCs/>
                          <w:sz w:val="20"/>
                          <w:szCs w:val="20"/>
                        </w:rPr>
                        <w:t>WaterCycle</w:t>
                      </w:r>
                      <w:proofErr w:type="spellEnd"/>
                      <w:r w:rsidR="00472784" w:rsidRPr="00472784">
                        <w:rPr>
                          <w:rFonts w:ascii="Stone Sans II ITC Com Lt" w:hAnsi="Stone Sans II ITC Com Lt"/>
                          <w:iCs/>
                          <w:sz w:val="20"/>
                          <w:szCs w:val="20"/>
                        </w:rPr>
                        <w:t xml:space="preserve"> bietet das Unternehmen ein breites Spektrum an Systemlösungen, um Oberflächenwasser oder Abwasser zu sammeln, aufzubereiten, zurückzuhalten und wieder zur Verfügung zu stellen. Darüber hinaus berät und unterstützt ein starkes Außen- und Innendienstteam alle Objektbeteiligten in jeder Projektphase.</w:t>
                      </w:r>
                    </w:p>
                  </w:txbxContent>
                </v:textbox>
                <w10:wrap anchorx="margin"/>
              </v:shape>
            </w:pict>
          </mc:Fallback>
        </mc:AlternateContent>
      </w:r>
    </w:p>
    <w:p w14:paraId="78A83055" w14:textId="7676FEFE" w:rsidR="00D975E2" w:rsidRPr="000B433D" w:rsidRDefault="00D975E2" w:rsidP="003B4C8D">
      <w:pPr>
        <w:pStyle w:val="Default"/>
        <w:spacing w:line="360" w:lineRule="auto"/>
        <w:rPr>
          <w:rFonts w:ascii="Stone Sans II ITC Com Lt" w:eastAsia="Times New Roman" w:hAnsi="Stone Sans II ITC Com Lt"/>
          <w:sz w:val="20"/>
          <w:lang w:eastAsia="de-DE"/>
        </w:rPr>
      </w:pPr>
    </w:p>
    <w:p w14:paraId="25EAC591" w14:textId="238CD157" w:rsidR="00902C82" w:rsidRDefault="00902C82" w:rsidP="00D975E2">
      <w:pPr>
        <w:spacing w:after="0"/>
        <w:textAlignment w:val="baseline"/>
        <w:rPr>
          <w:rFonts w:ascii="Stone Sans II ITC Com Lt" w:eastAsia="Times New Roman" w:hAnsi="Stone Sans II ITC Com Lt" w:cs="Arial"/>
          <w:sz w:val="20"/>
          <w:szCs w:val="24"/>
          <w:lang w:eastAsia="de-DE"/>
        </w:rPr>
      </w:pPr>
    </w:p>
    <w:p w14:paraId="5980F25C" w14:textId="77777777" w:rsidR="003B4C8D" w:rsidRDefault="003B4C8D" w:rsidP="00D975E2">
      <w:pPr>
        <w:spacing w:after="0"/>
        <w:textAlignment w:val="baseline"/>
        <w:rPr>
          <w:rFonts w:ascii="Stone Sans II ITC Com Lt" w:eastAsia="Times New Roman" w:hAnsi="Stone Sans II ITC Com Lt" w:cs="Arial"/>
          <w:sz w:val="20"/>
          <w:szCs w:val="24"/>
          <w:lang w:eastAsia="de-DE"/>
        </w:rPr>
      </w:pPr>
    </w:p>
    <w:p w14:paraId="6FE6891C" w14:textId="77777777" w:rsidR="003B4C8D" w:rsidRDefault="003B4C8D" w:rsidP="00D975E2">
      <w:pPr>
        <w:spacing w:after="0"/>
        <w:textAlignment w:val="baseline"/>
        <w:rPr>
          <w:rFonts w:ascii="Stone Sans II ITC Com Lt" w:eastAsia="Times New Roman" w:hAnsi="Stone Sans II ITC Com Lt" w:cs="Arial"/>
          <w:sz w:val="20"/>
          <w:szCs w:val="24"/>
          <w:lang w:eastAsia="de-DE"/>
        </w:rPr>
      </w:pPr>
    </w:p>
    <w:p w14:paraId="448828A3" w14:textId="084F7CA0" w:rsidR="003B4C8D" w:rsidRDefault="003B4C8D" w:rsidP="00D975E2">
      <w:pPr>
        <w:spacing w:after="0"/>
        <w:textAlignment w:val="baseline"/>
        <w:rPr>
          <w:rFonts w:ascii="Stone Sans II ITC Com Lt" w:eastAsia="Times New Roman" w:hAnsi="Stone Sans II ITC Com Lt" w:cs="Arial"/>
          <w:sz w:val="20"/>
          <w:szCs w:val="24"/>
          <w:lang w:eastAsia="de-DE"/>
        </w:rPr>
      </w:pPr>
    </w:p>
    <w:p w14:paraId="6C6CC104" w14:textId="77777777" w:rsidR="003B4C8D" w:rsidRDefault="003B4C8D" w:rsidP="00D975E2">
      <w:pPr>
        <w:spacing w:after="0"/>
        <w:textAlignment w:val="baseline"/>
        <w:rPr>
          <w:rFonts w:ascii="Stone Sans II ITC Com Lt" w:eastAsia="Times New Roman" w:hAnsi="Stone Sans II ITC Com Lt" w:cs="Arial"/>
          <w:sz w:val="20"/>
          <w:szCs w:val="24"/>
          <w:lang w:eastAsia="de-DE"/>
        </w:rPr>
      </w:pPr>
    </w:p>
    <w:p w14:paraId="6C47C281" w14:textId="7A26FB6B" w:rsidR="00DA6BD9" w:rsidRDefault="00DA6BD9" w:rsidP="00D975E2">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Bildmaterial:</w:t>
      </w:r>
    </w:p>
    <w:p w14:paraId="3B183A29" w14:textId="6D223465" w:rsidR="00DA6BD9" w:rsidRDefault="00DA6BD9" w:rsidP="00D975E2">
      <w:pPr>
        <w:spacing w:after="0"/>
        <w:textAlignment w:val="baseline"/>
        <w:rPr>
          <w:rFonts w:ascii="Stone Sans II ITC Com Lt" w:eastAsia="Times New Roman" w:hAnsi="Stone Sans II ITC Com Lt" w:cs="Arial"/>
          <w:sz w:val="20"/>
          <w:szCs w:val="24"/>
          <w:lang w:eastAsia="de-DE"/>
        </w:rPr>
      </w:pPr>
    </w:p>
    <w:p w14:paraId="534E315F" w14:textId="491DD22F" w:rsidR="006132BD" w:rsidRDefault="006132BD">
      <w:pPr>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br w:type="page"/>
      </w:r>
    </w:p>
    <w:p w14:paraId="18152879" w14:textId="77777777" w:rsidR="00ED142A" w:rsidRDefault="00ED142A" w:rsidP="00D975E2">
      <w:pPr>
        <w:spacing w:after="0"/>
        <w:textAlignment w:val="baseline"/>
        <w:rPr>
          <w:rFonts w:ascii="Stone Sans II ITC Com Lt" w:eastAsia="Times New Roman" w:hAnsi="Stone Sans II ITC Com Lt" w:cs="Arial"/>
          <w:sz w:val="20"/>
          <w:szCs w:val="24"/>
          <w:lang w:eastAsia="de-DE"/>
        </w:rPr>
      </w:pPr>
    </w:p>
    <w:p w14:paraId="45A6FDF7" w14:textId="6A15C0CD" w:rsidR="00ED142A" w:rsidRPr="006132BD" w:rsidRDefault="00ED142A" w:rsidP="00D975E2">
      <w:pPr>
        <w:spacing w:after="0"/>
        <w:textAlignment w:val="baseline"/>
        <w:rPr>
          <w:rFonts w:ascii="Stone Sans II ITC Com Lt" w:eastAsia="Times New Roman" w:hAnsi="Stone Sans II ITC Com Lt" w:cs="Arial"/>
          <w:sz w:val="24"/>
          <w:szCs w:val="32"/>
          <w:lang w:eastAsia="de-DE"/>
        </w:rPr>
      </w:pPr>
      <w:r w:rsidRPr="006132BD">
        <w:rPr>
          <w:rFonts w:ascii="Stone Sans II ITC Com Lt" w:eastAsia="Times New Roman" w:hAnsi="Stone Sans II ITC Com Lt" w:cs="Arial"/>
          <w:sz w:val="24"/>
          <w:szCs w:val="32"/>
          <w:lang w:eastAsia="de-DE"/>
        </w:rPr>
        <w:t>Bildmaterial</w:t>
      </w:r>
      <w:r w:rsidR="006132BD">
        <w:rPr>
          <w:rFonts w:ascii="Stone Sans II ITC Com Lt" w:eastAsia="Times New Roman" w:hAnsi="Stone Sans II ITC Com Lt" w:cs="Arial"/>
          <w:sz w:val="24"/>
          <w:szCs w:val="32"/>
          <w:lang w:eastAsia="de-DE"/>
        </w:rPr>
        <w:t xml:space="preserve"> – Quelle: ACO</w:t>
      </w:r>
    </w:p>
    <w:p w14:paraId="21D37F9B" w14:textId="77777777" w:rsidR="00ED142A" w:rsidRDefault="00ED142A" w:rsidP="00D975E2">
      <w:pPr>
        <w:spacing w:after="0"/>
        <w:textAlignment w:val="baseline"/>
        <w:rPr>
          <w:rFonts w:ascii="Stone Sans II ITC Com Lt" w:eastAsia="Times New Roman" w:hAnsi="Stone Sans II ITC Com Lt" w:cs="Arial"/>
          <w:sz w:val="20"/>
          <w:szCs w:val="24"/>
          <w:lang w:eastAsia="de-DE"/>
        </w:rPr>
      </w:pPr>
    </w:p>
    <w:p w14:paraId="03F027DE" w14:textId="3269D9C1" w:rsidR="000A50B5" w:rsidRDefault="002B7D25" w:rsidP="00D975E2">
      <w:pPr>
        <w:spacing w:after="0"/>
        <w:textAlignment w:val="baseline"/>
        <w:rPr>
          <w:rFonts w:ascii="Stone Sans II ITC Com Lt" w:eastAsia="Times New Roman" w:hAnsi="Stone Sans II ITC Com Lt" w:cs="Arial"/>
          <w:sz w:val="20"/>
          <w:szCs w:val="24"/>
          <w:lang w:eastAsia="de-DE"/>
        </w:rPr>
      </w:pPr>
      <w:r w:rsidRPr="00203C3A">
        <w:rPr>
          <w:rFonts w:ascii="Stone Sans II ITC Com Bk" w:hAnsi="Stone Sans II ITC Com Bk"/>
          <w:noProof/>
        </w:rPr>
        <w:drawing>
          <wp:inline distT="0" distB="0" distL="0" distR="0" wp14:anchorId="4AD746A7" wp14:editId="7BEC122A">
            <wp:extent cx="4468483" cy="3348639"/>
            <wp:effectExtent l="0" t="0" r="8890" b="4445"/>
            <wp:docPr id="764839680" name="Grafik 764839680" descr="Ein Bild, das Text, draußen, Straße,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draußen, Straße, Transport enthält.&#10;&#10;Automatisch generierte Beschreibung"/>
                    <pic:cNvPicPr/>
                  </pic:nvPicPr>
                  <pic:blipFill>
                    <a:blip r:embed="rId13"/>
                    <a:stretch>
                      <a:fillRect/>
                    </a:stretch>
                  </pic:blipFill>
                  <pic:spPr>
                    <a:xfrm>
                      <a:off x="0" y="0"/>
                      <a:ext cx="4472090" cy="3351342"/>
                    </a:xfrm>
                    <a:prstGeom prst="rect">
                      <a:avLst/>
                    </a:prstGeom>
                  </pic:spPr>
                </pic:pic>
              </a:graphicData>
            </a:graphic>
          </wp:inline>
        </w:drawing>
      </w:r>
    </w:p>
    <w:p w14:paraId="2DFFC041" w14:textId="77777777" w:rsidR="00ED142A" w:rsidRDefault="00ED142A" w:rsidP="00D975E2">
      <w:pPr>
        <w:spacing w:after="0"/>
        <w:textAlignment w:val="baseline"/>
        <w:rPr>
          <w:rFonts w:ascii="Stone Sans II ITC Com Lt" w:eastAsia="Times New Roman" w:hAnsi="Stone Sans II ITC Com Lt" w:cs="Arial"/>
          <w:sz w:val="20"/>
          <w:szCs w:val="24"/>
          <w:lang w:eastAsia="de-DE"/>
        </w:rPr>
      </w:pPr>
    </w:p>
    <w:p w14:paraId="7A553FA2" w14:textId="77777777" w:rsidR="000A50B5" w:rsidRPr="006132BD" w:rsidRDefault="000A50B5" w:rsidP="000A50B5">
      <w:pPr>
        <w:pStyle w:val="Beschriftung"/>
        <w:rPr>
          <w:rFonts w:ascii="Stone Sans II ITC Com Lt" w:eastAsia="Times New Roman" w:hAnsi="Stone Sans II ITC Com Lt" w:cs="Arial"/>
          <w:i w:val="0"/>
          <w:iCs w:val="0"/>
          <w:color w:val="auto"/>
          <w:sz w:val="20"/>
          <w:szCs w:val="24"/>
          <w:lang w:eastAsia="de-DE"/>
        </w:rPr>
      </w:pPr>
      <w:r w:rsidRPr="006132BD">
        <w:rPr>
          <w:rFonts w:ascii="Stone Sans II ITC Com Lt" w:eastAsia="Times New Roman" w:hAnsi="Stone Sans II ITC Com Lt" w:cs="Arial"/>
          <w:i w:val="0"/>
          <w:iCs w:val="0"/>
          <w:color w:val="auto"/>
          <w:sz w:val="20"/>
          <w:szCs w:val="24"/>
          <w:lang w:eastAsia="de-DE"/>
        </w:rPr>
        <w:t>ACO DRAIN® Powerblock – die Schwer[s]lastrinne für höchste Belastungen</w:t>
      </w:r>
    </w:p>
    <w:p w14:paraId="5EC4ED80" w14:textId="77777777" w:rsidR="006132BD" w:rsidRDefault="006132BD" w:rsidP="00D975E2">
      <w:pPr>
        <w:spacing w:after="0"/>
        <w:textAlignment w:val="baseline"/>
        <w:rPr>
          <w:rFonts w:ascii="Stone Sans II ITC Com Lt" w:eastAsia="Times New Roman" w:hAnsi="Stone Sans II ITC Com Lt" w:cs="Arial"/>
          <w:sz w:val="20"/>
          <w:szCs w:val="24"/>
          <w:lang w:eastAsia="de-DE"/>
        </w:rPr>
      </w:pPr>
    </w:p>
    <w:p w14:paraId="524A2614" w14:textId="54410E0D" w:rsidR="00DA6BD9" w:rsidRDefault="000A50B5" w:rsidP="00D975E2">
      <w:pPr>
        <w:spacing w:after="0"/>
        <w:textAlignment w:val="baseline"/>
        <w:rPr>
          <w:rFonts w:ascii="Stone Sans II ITC Com Lt" w:eastAsia="Times New Roman" w:hAnsi="Stone Sans II ITC Com Lt" w:cs="Arial"/>
          <w:sz w:val="20"/>
          <w:szCs w:val="24"/>
          <w:lang w:eastAsia="de-DE"/>
        </w:rPr>
      </w:pPr>
      <w:r w:rsidRPr="006756C6">
        <w:rPr>
          <w:rFonts w:ascii="Stone Sans II ITC Com Bk" w:hAnsi="Stone Sans II ITC Com Bk"/>
          <w:noProof/>
        </w:rPr>
        <w:drawing>
          <wp:inline distT="0" distB="0" distL="0" distR="0" wp14:anchorId="2B326513" wp14:editId="78692AA4">
            <wp:extent cx="2212340" cy="160782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2212340" cy="1607820"/>
                    </a:xfrm>
                    <a:prstGeom prst="rect">
                      <a:avLst/>
                    </a:prstGeom>
                  </pic:spPr>
                </pic:pic>
              </a:graphicData>
            </a:graphic>
          </wp:inline>
        </w:drawing>
      </w:r>
    </w:p>
    <w:p w14:paraId="2C526363" w14:textId="4E3A12A0" w:rsidR="000A50B5" w:rsidRDefault="000A50B5" w:rsidP="00D975E2">
      <w:pPr>
        <w:spacing w:after="0"/>
        <w:textAlignment w:val="baseline"/>
        <w:rPr>
          <w:rFonts w:ascii="Stone Sans II ITC Com Lt" w:eastAsia="Times New Roman" w:hAnsi="Stone Sans II ITC Com Lt" w:cs="Arial"/>
          <w:sz w:val="20"/>
          <w:szCs w:val="24"/>
          <w:lang w:eastAsia="de-DE"/>
        </w:rPr>
      </w:pPr>
    </w:p>
    <w:p w14:paraId="26E3889F" w14:textId="1054119D" w:rsidR="006132BD" w:rsidRDefault="006132BD" w:rsidP="00D975E2">
      <w:pPr>
        <w:spacing w:after="0"/>
        <w:textAlignment w:val="baseline"/>
        <w:rPr>
          <w:rFonts w:ascii="Stone Sans II ITC Com Lt" w:eastAsia="Times New Roman" w:hAnsi="Stone Sans II ITC Com Lt" w:cs="Arial"/>
          <w:sz w:val="20"/>
          <w:szCs w:val="24"/>
          <w:lang w:eastAsia="de-DE"/>
        </w:rPr>
      </w:pPr>
    </w:p>
    <w:p w14:paraId="2E5FAB6A" w14:textId="77777777" w:rsidR="006132BD" w:rsidRPr="006132BD" w:rsidRDefault="006132BD" w:rsidP="006132BD">
      <w:pPr>
        <w:spacing w:after="0"/>
        <w:textAlignment w:val="baseline"/>
        <w:rPr>
          <w:rFonts w:ascii="Stone Sans II ITC Com Lt" w:eastAsia="Times New Roman" w:hAnsi="Stone Sans II ITC Com Lt" w:cs="Arial"/>
          <w:sz w:val="20"/>
          <w:szCs w:val="24"/>
          <w:lang w:eastAsia="de-DE"/>
        </w:rPr>
      </w:pPr>
      <w:r w:rsidRPr="006132BD">
        <w:rPr>
          <w:rFonts w:ascii="Stone Sans II ITC Com Lt" w:eastAsia="Times New Roman" w:hAnsi="Stone Sans II ITC Com Lt" w:cs="Arial"/>
          <w:sz w:val="20"/>
          <w:szCs w:val="24"/>
          <w:lang w:eastAsia="de-DE"/>
        </w:rPr>
        <w:t xml:space="preserve">ACO DRAIN® Powerblock in monolithischer Bauweise mit eingegossenem </w:t>
      </w:r>
      <w:proofErr w:type="spellStart"/>
      <w:r w:rsidRPr="006132BD">
        <w:rPr>
          <w:rFonts w:ascii="Stone Sans II ITC Com Lt" w:eastAsia="Times New Roman" w:hAnsi="Stone Sans II ITC Com Lt" w:cs="Arial"/>
          <w:sz w:val="20"/>
          <w:szCs w:val="24"/>
          <w:lang w:eastAsia="de-DE"/>
        </w:rPr>
        <w:t>Gussrost</w:t>
      </w:r>
      <w:proofErr w:type="spellEnd"/>
      <w:r w:rsidRPr="006132BD">
        <w:rPr>
          <w:rFonts w:ascii="Stone Sans II ITC Com Lt" w:eastAsia="Times New Roman" w:hAnsi="Stone Sans II ITC Com Lt" w:cs="Arial"/>
          <w:sz w:val="20"/>
          <w:szCs w:val="24"/>
          <w:lang w:eastAsia="de-DE"/>
        </w:rPr>
        <w:t xml:space="preserve"> und Dichtung am Rinnenstoß</w:t>
      </w:r>
    </w:p>
    <w:p w14:paraId="0ACEA180" w14:textId="77777777" w:rsidR="000A50B5" w:rsidRDefault="000A50B5" w:rsidP="00D975E2">
      <w:pPr>
        <w:spacing w:after="0"/>
        <w:textAlignment w:val="baseline"/>
        <w:rPr>
          <w:rFonts w:ascii="Stone Sans II ITC Com Lt" w:eastAsia="Times New Roman" w:hAnsi="Stone Sans II ITC Com Lt" w:cs="Arial"/>
          <w:sz w:val="20"/>
          <w:szCs w:val="24"/>
          <w:lang w:eastAsia="de-DE"/>
        </w:rPr>
      </w:pPr>
    </w:p>
    <w:p w14:paraId="597D0C09" w14:textId="77777777" w:rsidR="000A50B5" w:rsidRDefault="000A50B5" w:rsidP="00D975E2">
      <w:pPr>
        <w:spacing w:after="0"/>
        <w:textAlignment w:val="baseline"/>
        <w:rPr>
          <w:rFonts w:ascii="Stone Sans II ITC Com Lt" w:eastAsia="Times New Roman" w:hAnsi="Stone Sans II ITC Com Lt" w:cs="Arial"/>
          <w:sz w:val="20"/>
          <w:szCs w:val="24"/>
          <w:lang w:eastAsia="de-DE"/>
        </w:rPr>
      </w:pPr>
    </w:p>
    <w:p w14:paraId="675330E7" w14:textId="3AAA1DB9" w:rsidR="00634F90" w:rsidRDefault="009645F1" w:rsidP="00D975E2">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Pressekontakt</w:t>
      </w:r>
      <w:r w:rsidR="00634F90" w:rsidRPr="000B433D">
        <w:rPr>
          <w:rFonts w:ascii="Stone Sans II ITC Com Lt" w:eastAsia="Times New Roman" w:hAnsi="Stone Sans II ITC Com Lt" w:cs="Arial"/>
          <w:sz w:val="20"/>
          <w:szCs w:val="24"/>
          <w:lang w:eastAsia="de-DE"/>
        </w:rPr>
        <w:t>:</w:t>
      </w:r>
    </w:p>
    <w:p w14:paraId="3DAF59DD" w14:textId="332F6EEA" w:rsidR="0036366E" w:rsidRPr="000B433D" w:rsidRDefault="0036366E" w:rsidP="00D975E2">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ACO GmbH</w:t>
      </w:r>
    </w:p>
    <w:p w14:paraId="1F266D36" w14:textId="6077407B" w:rsidR="00542585" w:rsidRPr="006E02FD" w:rsidRDefault="000B433D" w:rsidP="00DE73D8">
      <w:pPr>
        <w:rPr>
          <w:rStyle w:val="Hyperlink"/>
          <w:rFonts w:ascii="Arial" w:hAnsi="Arial" w:cs="Arial"/>
          <w:color w:val="000000" w:themeColor="text1"/>
          <w:sz w:val="20"/>
          <w:u w:val="none"/>
          <w:shd w:val="clear" w:color="auto" w:fill="FFFFFF"/>
          <w:lang w:val="en-US"/>
        </w:rPr>
      </w:pPr>
      <w:r w:rsidRPr="00D9042E">
        <w:rPr>
          <w:rFonts w:ascii="Stone Sans II ITC Com Lt" w:hAnsi="Stone Sans II ITC Com Lt" w:cs="Arial"/>
          <w:b/>
          <w:bCs/>
          <w:color w:val="000000" w:themeColor="text1"/>
          <w:sz w:val="20"/>
          <w:lang w:val="en-US"/>
        </w:rPr>
        <w:t xml:space="preserve">Tanja Holst </w:t>
      </w:r>
      <w:r w:rsidR="00CB1D67" w:rsidRPr="00D9042E">
        <w:rPr>
          <w:rFonts w:ascii="Stone Sans II ITC Com Lt" w:hAnsi="Stone Sans II ITC Com Lt" w:cs="Arial"/>
          <w:b/>
          <w:bCs/>
          <w:color w:val="000000" w:themeColor="text1"/>
          <w:sz w:val="20"/>
          <w:lang w:val="en-US"/>
        </w:rPr>
        <w:br/>
      </w:r>
      <w:r w:rsidR="00CB1D67">
        <w:rPr>
          <w:rFonts w:ascii="Stone Sans II ITC Com Lt" w:hAnsi="Stone Sans II ITC Com Lt" w:cs="Arial"/>
          <w:color w:val="000000" w:themeColor="text1"/>
          <w:sz w:val="20"/>
          <w:lang w:val="en-US"/>
        </w:rPr>
        <w:t xml:space="preserve">Public Relations - </w:t>
      </w:r>
      <w:proofErr w:type="spellStart"/>
      <w:r w:rsidR="00CB1D67">
        <w:rPr>
          <w:rFonts w:ascii="Stone Sans II ITC Com Lt" w:hAnsi="Stone Sans II ITC Com Lt" w:cs="Arial"/>
          <w:color w:val="000000" w:themeColor="text1"/>
          <w:sz w:val="20"/>
          <w:lang w:val="en-US"/>
        </w:rPr>
        <w:t>Fachpresse</w:t>
      </w:r>
      <w:proofErr w:type="spellEnd"/>
      <w:r w:rsidR="00C00711">
        <w:rPr>
          <w:rFonts w:ascii="Stone Sans II ITC Com Lt" w:hAnsi="Stone Sans II ITC Com Lt" w:cs="Arial"/>
          <w:color w:val="000000"/>
          <w:sz w:val="20"/>
          <w:shd w:val="clear" w:color="auto" w:fill="FFFFFF"/>
          <w:lang w:val="en-US"/>
        </w:rPr>
        <w:br/>
      </w:r>
      <w:r w:rsidR="00DE73D8" w:rsidRPr="006E02FD">
        <w:rPr>
          <w:rFonts w:ascii="Stone Sans II ITC Com Lt" w:hAnsi="Stone Sans II ITC Com Lt" w:cs="Arial"/>
          <w:color w:val="000000"/>
          <w:sz w:val="20"/>
          <w:shd w:val="clear" w:color="auto" w:fill="FFFFFF"/>
          <w:lang w:val="en-US"/>
        </w:rPr>
        <w:t>T</w:t>
      </w:r>
      <w:r w:rsidR="00DE73D8" w:rsidRPr="006E02FD">
        <w:rPr>
          <w:rFonts w:ascii="Stone Sans II ITC Com Lt" w:hAnsi="Stone Sans II ITC Com Lt" w:cs="Arial"/>
          <w:color w:val="000000" w:themeColor="text1"/>
          <w:sz w:val="20"/>
          <w:shd w:val="clear" w:color="auto" w:fill="FFFFFF"/>
          <w:lang w:val="en-US"/>
        </w:rPr>
        <w:t>el.: </w:t>
      </w:r>
      <w:hyperlink r:id="rId15" w:history="1">
        <w:r w:rsidR="00DE73D8" w:rsidRPr="006E02FD">
          <w:rPr>
            <w:rStyle w:val="Hyperlink"/>
            <w:rFonts w:ascii="Stone Sans II ITC Com Lt" w:hAnsi="Stone Sans II ITC Com Lt" w:cs="Arial"/>
            <w:color w:val="000000" w:themeColor="text1"/>
            <w:sz w:val="20"/>
            <w:u w:val="none"/>
            <w:shd w:val="clear" w:color="auto" w:fill="FFFFFF"/>
            <w:lang w:val="en-US"/>
          </w:rPr>
          <w:t xml:space="preserve">+49 4331 354 </w:t>
        </w:r>
      </w:hyperlink>
      <w:r w:rsidRPr="006E02FD">
        <w:rPr>
          <w:rStyle w:val="Hyperlink"/>
          <w:rFonts w:ascii="Stone Sans II ITC Com Lt" w:hAnsi="Stone Sans II ITC Com Lt" w:cs="Arial"/>
          <w:color w:val="000000" w:themeColor="text1"/>
          <w:sz w:val="20"/>
          <w:u w:val="none"/>
          <w:shd w:val="clear" w:color="auto" w:fill="FFFFFF"/>
          <w:lang w:val="en-US"/>
        </w:rPr>
        <w:t>197</w:t>
      </w:r>
      <w:r w:rsidRPr="006E02FD">
        <w:rPr>
          <w:rStyle w:val="Hyperlink"/>
          <w:rFonts w:ascii="Stone Sans II ITC Com Lt" w:hAnsi="Stone Sans II ITC Com Lt" w:cs="Arial"/>
          <w:color w:val="000000" w:themeColor="text1"/>
          <w:sz w:val="20"/>
          <w:u w:val="none"/>
          <w:shd w:val="clear" w:color="auto" w:fill="FFFFFF"/>
          <w:lang w:val="en-US"/>
        </w:rPr>
        <w:br/>
        <w:t>Mobil: +49 151 64738331</w:t>
      </w:r>
      <w:r w:rsidR="00D975E2" w:rsidRPr="006E02FD">
        <w:rPr>
          <w:rFonts w:ascii="Stone Sans II ITC Com Lt" w:hAnsi="Stone Sans II ITC Com Lt" w:cs="Arial"/>
          <w:color w:val="000000"/>
          <w:sz w:val="17"/>
          <w:szCs w:val="17"/>
          <w:lang w:val="en-US" w:eastAsia="de-DE"/>
        </w:rPr>
        <w:t xml:space="preserve"> </w:t>
      </w:r>
      <w:r w:rsidR="00D975E2" w:rsidRPr="006E02FD">
        <w:rPr>
          <w:rFonts w:ascii="Stone Sans II ITC Com Lt" w:hAnsi="Stone Sans II ITC Com Lt" w:cs="Arial"/>
          <w:color w:val="000000"/>
          <w:sz w:val="17"/>
          <w:szCs w:val="17"/>
          <w:lang w:val="en-US" w:eastAsia="de-DE"/>
        </w:rPr>
        <w:br/>
      </w:r>
      <w:r w:rsidR="00DE73D8" w:rsidRPr="006E02FD">
        <w:rPr>
          <w:rFonts w:ascii="Stone Sans II ITC Com Lt" w:hAnsi="Stone Sans II ITC Com Lt" w:cs="Arial"/>
          <w:color w:val="000000" w:themeColor="text1"/>
          <w:sz w:val="20"/>
          <w:shd w:val="clear" w:color="auto" w:fill="FFFFFF"/>
          <w:lang w:val="en-US"/>
        </w:rPr>
        <w:t>E-</w:t>
      </w:r>
      <w:r w:rsidR="00B95F54" w:rsidRPr="006E02FD">
        <w:rPr>
          <w:rFonts w:ascii="Stone Sans II ITC Com Lt" w:hAnsi="Stone Sans II ITC Com Lt" w:cs="Arial"/>
          <w:color w:val="000000" w:themeColor="text1"/>
          <w:sz w:val="20"/>
          <w:shd w:val="clear" w:color="auto" w:fill="FFFFFF"/>
          <w:lang w:val="en-US"/>
        </w:rPr>
        <w:t>M</w:t>
      </w:r>
      <w:r w:rsidR="00DE73D8" w:rsidRPr="006E02FD">
        <w:rPr>
          <w:rFonts w:ascii="Stone Sans II ITC Com Lt" w:hAnsi="Stone Sans II ITC Com Lt" w:cs="Arial"/>
          <w:color w:val="000000" w:themeColor="text1"/>
          <w:sz w:val="20"/>
          <w:shd w:val="clear" w:color="auto" w:fill="FFFFFF"/>
          <w:lang w:val="en-US"/>
        </w:rPr>
        <w:t>ail: </w:t>
      </w:r>
      <w:hyperlink r:id="rId16" w:history="1">
        <w:r w:rsidR="00462739" w:rsidRPr="006E02FD">
          <w:rPr>
            <w:rStyle w:val="Hyperlink"/>
            <w:rFonts w:ascii="Stone Sans II ITC Com Lt" w:hAnsi="Stone Sans II ITC Com Lt" w:cs="Arial"/>
            <w:sz w:val="20"/>
            <w:shd w:val="clear" w:color="auto" w:fill="FFFFFF"/>
            <w:lang w:val="en-US"/>
          </w:rPr>
          <w:t>tanja.holst@aco.com</w:t>
        </w:r>
      </w:hyperlink>
    </w:p>
    <w:sectPr w:rsidR="00542585" w:rsidRPr="006E02FD" w:rsidSect="00F546F0">
      <w:footerReference w:type="default" r:id="rId17"/>
      <w:pgSz w:w="11906" w:h="16838"/>
      <w:pgMar w:top="851" w:right="1274"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0F2AD" w14:textId="77777777" w:rsidR="0021143A" w:rsidRDefault="0021143A" w:rsidP="00044844">
      <w:pPr>
        <w:spacing w:after="0" w:line="240" w:lineRule="auto"/>
      </w:pPr>
      <w:r>
        <w:separator/>
      </w:r>
    </w:p>
  </w:endnote>
  <w:endnote w:type="continuationSeparator" w:id="0">
    <w:p w14:paraId="4BA4800F" w14:textId="77777777" w:rsidR="0021143A" w:rsidRDefault="0021143A" w:rsidP="00044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tone Sans II ITC Com Lt">
    <w:panose1 w:val="020B0302040503020204"/>
    <w:charset w:val="00"/>
    <w:family w:val="swiss"/>
    <w:pitch w:val="variable"/>
    <w:sig w:usb0="A00000AF" w:usb1="5000205B" w:usb2="00000000" w:usb3="00000000" w:csb0="0000009B" w:csb1="00000000"/>
  </w:font>
  <w:font w:name="NewsGothic,Bold">
    <w:panose1 w:val="00000000000000000000"/>
    <w:charset w:val="00"/>
    <w:family w:val="auto"/>
    <w:notTrueType/>
    <w:pitch w:val="default"/>
    <w:sig w:usb0="00000003" w:usb1="00000000" w:usb2="00000000" w:usb3="00000000" w:csb0="00000001" w:csb1="00000000"/>
  </w:font>
  <w:font w:name="Stone Sans II ITC Com Bk">
    <w:panose1 w:val="020B0502040503020204"/>
    <w:charset w:val="00"/>
    <w:family w:val="swiss"/>
    <w:pitch w:val="variable"/>
    <w:sig w:usb0="A00000AF" w:usb1="5000205B" w:usb2="00000000" w:usb3="00000000" w:csb0="0000009B" w:csb1="00000000"/>
  </w:font>
  <w:font w:name="Stone Sans II ITC Com Lt Cn">
    <w:panose1 w:val="020B0306040503020204"/>
    <w:charset w:val="00"/>
    <w:family w:val="swiss"/>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E26E" w14:textId="356E7BE5" w:rsidR="00044844" w:rsidRPr="00CB4EB3" w:rsidRDefault="00D01A8A" w:rsidP="003E71A3">
    <w:pPr>
      <w:pStyle w:val="Fuzeile"/>
      <w:tabs>
        <w:tab w:val="clear" w:pos="4536"/>
        <w:tab w:val="clear" w:pos="9072"/>
        <w:tab w:val="left" w:pos="1970"/>
      </w:tabs>
      <w:jc w:val="right"/>
      <w:rPr>
        <w:rFonts w:ascii="Stone Sans II ITC Com Lt Cn" w:hAnsi="Stone Sans II ITC Com Lt Cn"/>
        <w:color w:val="BFBFBF"/>
        <w:sz w:val="18"/>
        <w:szCs w:val="18"/>
      </w:rPr>
    </w:pPr>
    <w:r>
      <w:rPr>
        <w:noProof/>
        <w:lang w:eastAsia="de-DE"/>
      </w:rPr>
      <w:drawing>
        <wp:anchor distT="0" distB="0" distL="114300" distR="114300" simplePos="0" relativeHeight="251662336" behindDoc="0" locked="0" layoutInCell="1" allowOverlap="1" wp14:anchorId="1F99D5D5" wp14:editId="6BAD0FD0">
          <wp:simplePos x="0" y="0"/>
          <wp:positionH relativeFrom="column">
            <wp:posOffset>1391446</wp:posOffset>
          </wp:positionH>
          <wp:positionV relativeFrom="paragraph">
            <wp:posOffset>75565</wp:posOffset>
          </wp:positionV>
          <wp:extent cx="251460" cy="251460"/>
          <wp:effectExtent l="0" t="0" r="0" b="0"/>
          <wp:wrapNone/>
          <wp:docPr id="4" name="Grafik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nterest_re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1312" behindDoc="0" locked="0" layoutInCell="1" allowOverlap="1" wp14:anchorId="69448AAF" wp14:editId="7E3B6CD1">
          <wp:simplePos x="0" y="0"/>
          <wp:positionH relativeFrom="column">
            <wp:posOffset>1035211</wp:posOffset>
          </wp:positionH>
          <wp:positionV relativeFrom="paragraph">
            <wp:posOffset>75565</wp:posOffset>
          </wp:positionV>
          <wp:extent cx="251460" cy="251460"/>
          <wp:effectExtent l="0" t="0" r="0" b="0"/>
          <wp:wrapNone/>
          <wp:docPr id="5" name="Grafik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3"/>
                  </pic:cNvPr>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0288" behindDoc="1" locked="0" layoutInCell="1" allowOverlap="1" wp14:anchorId="7C73EDEF" wp14:editId="067BE8FB">
          <wp:simplePos x="0" y="0"/>
          <wp:positionH relativeFrom="column">
            <wp:posOffset>686435</wp:posOffset>
          </wp:positionH>
          <wp:positionV relativeFrom="paragraph">
            <wp:posOffset>76200</wp:posOffset>
          </wp:positionV>
          <wp:extent cx="251460" cy="251460"/>
          <wp:effectExtent l="0" t="0" r="0" b="0"/>
          <wp:wrapNone/>
          <wp:docPr id="6" name="Grafik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tube_r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9264" behindDoc="0" locked="0" layoutInCell="1" allowOverlap="1" wp14:anchorId="5AA5A219" wp14:editId="431B58EA">
          <wp:simplePos x="0" y="0"/>
          <wp:positionH relativeFrom="column">
            <wp:posOffset>343061</wp:posOffset>
          </wp:positionH>
          <wp:positionV relativeFrom="paragraph">
            <wp:posOffset>76200</wp:posOffset>
          </wp:positionV>
          <wp:extent cx="251460" cy="251460"/>
          <wp:effectExtent l="0" t="0" r="0" b="0"/>
          <wp:wrapThrough wrapText="bothSides">
            <wp:wrapPolygon edited="0">
              <wp:start x="0" y="0"/>
              <wp:lineTo x="0" y="19636"/>
              <wp:lineTo x="19636" y="19636"/>
              <wp:lineTo x="19636" y="0"/>
              <wp:lineTo x="0" y="0"/>
            </wp:wrapPolygon>
          </wp:wrapThrough>
          <wp:docPr id="7" name="Grafik 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00CA2083">
      <w:rPr>
        <w:rFonts w:ascii="Stone Sans II ITC Com Lt Cn" w:hAnsi="Stone Sans II ITC Com Lt Cn"/>
        <w:noProof/>
        <w:color w:val="BFBFBF"/>
        <w:sz w:val="18"/>
        <w:szCs w:val="18"/>
        <w:lang w:eastAsia="de-DE"/>
      </w:rPr>
      <w:drawing>
        <wp:anchor distT="0" distB="0" distL="114300" distR="114300" simplePos="0" relativeHeight="251658240" behindDoc="1" locked="0" layoutInCell="1" allowOverlap="1" wp14:anchorId="3D4D4CCA" wp14:editId="437EB943">
          <wp:simplePos x="0" y="0"/>
          <wp:positionH relativeFrom="margin">
            <wp:align>left</wp:align>
          </wp:positionH>
          <wp:positionV relativeFrom="paragraph">
            <wp:posOffset>74930</wp:posOffset>
          </wp:positionV>
          <wp:extent cx="252000" cy="252000"/>
          <wp:effectExtent l="0" t="0" r="0" b="0"/>
          <wp:wrapTight wrapText="bothSides">
            <wp:wrapPolygon edited="0">
              <wp:start x="0" y="0"/>
              <wp:lineTo x="0" y="19636"/>
              <wp:lineTo x="19636" y="19636"/>
              <wp:lineTo x="19636" y="0"/>
              <wp:lineTo x="0" y="0"/>
            </wp:wrapPolygon>
          </wp:wrapTight>
          <wp:docPr id="8" name="Grafik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sidR="00044844" w:rsidRPr="00CB4EB3">
      <w:rPr>
        <w:rFonts w:ascii="Stone Sans II ITC Com Lt Cn" w:hAnsi="Stone Sans II ITC Com Lt Cn"/>
        <w:color w:val="BFBFBF"/>
        <w:sz w:val="18"/>
        <w:szCs w:val="18"/>
      </w:rPr>
      <w:t xml:space="preserve">Seite </w:t>
    </w:r>
    <w:sdt>
      <w:sdtPr>
        <w:rPr>
          <w:rFonts w:ascii="Stone Sans II ITC Com Lt Cn" w:hAnsi="Stone Sans II ITC Com Lt Cn"/>
          <w:b/>
          <w:color w:val="BFBFBF"/>
          <w:sz w:val="18"/>
          <w:szCs w:val="18"/>
        </w:rPr>
        <w:id w:val="-569734593"/>
        <w:docPartObj>
          <w:docPartGallery w:val="Page Numbers (Bottom of Page)"/>
          <w:docPartUnique/>
        </w:docPartObj>
      </w:sdtPr>
      <w:sdtEndPr/>
      <w:sdtContent>
        <w:r w:rsidR="00044844" w:rsidRPr="00CB4EB3">
          <w:rPr>
            <w:rFonts w:ascii="Stone Sans II ITC Com Lt Cn" w:hAnsi="Stone Sans II ITC Com Lt Cn"/>
            <w:b/>
            <w:color w:val="BFBFBF"/>
            <w:sz w:val="18"/>
            <w:szCs w:val="18"/>
          </w:rPr>
          <w:fldChar w:fldCharType="begin"/>
        </w:r>
        <w:r w:rsidR="00044844" w:rsidRPr="00CB4EB3">
          <w:rPr>
            <w:rFonts w:ascii="Stone Sans II ITC Com Lt Cn" w:hAnsi="Stone Sans II ITC Com Lt Cn"/>
            <w:b/>
            <w:color w:val="BFBFBF"/>
            <w:sz w:val="18"/>
            <w:szCs w:val="18"/>
          </w:rPr>
          <w:instrText>PAGE   \* MERGEFORMAT</w:instrText>
        </w:r>
        <w:r w:rsidR="00044844" w:rsidRPr="00CB4EB3">
          <w:rPr>
            <w:rFonts w:ascii="Stone Sans II ITC Com Lt Cn" w:hAnsi="Stone Sans II ITC Com Lt Cn"/>
            <w:b/>
            <w:color w:val="BFBFBF"/>
            <w:sz w:val="18"/>
            <w:szCs w:val="18"/>
          </w:rPr>
          <w:fldChar w:fldCharType="separate"/>
        </w:r>
        <w:r w:rsidR="005C18B7">
          <w:rPr>
            <w:rFonts w:ascii="Stone Sans II ITC Com Lt Cn" w:hAnsi="Stone Sans II ITC Com Lt Cn"/>
            <w:b/>
            <w:noProof/>
            <w:color w:val="BFBFBF"/>
            <w:sz w:val="18"/>
            <w:szCs w:val="18"/>
          </w:rPr>
          <w:t>1</w:t>
        </w:r>
        <w:r w:rsidR="00044844" w:rsidRPr="00CB4EB3">
          <w:rPr>
            <w:rFonts w:ascii="Stone Sans II ITC Com Lt Cn" w:hAnsi="Stone Sans II ITC Com Lt Cn"/>
            <w:b/>
            <w:color w:val="BFBFBF"/>
            <w:sz w:val="18"/>
            <w:szCs w:val="18"/>
          </w:rPr>
          <w:fldChar w:fldCharType="end"/>
        </w:r>
        <w:r w:rsidR="00044844" w:rsidRPr="00CB4EB3">
          <w:rPr>
            <w:rFonts w:ascii="Stone Sans II ITC Com Lt Cn" w:hAnsi="Stone Sans II ITC Com Lt Cn"/>
            <w:b/>
            <w:color w:val="BFBFBF"/>
            <w:sz w:val="18"/>
            <w:szCs w:val="18"/>
          </w:rPr>
          <w:t xml:space="preserve"> </w:t>
        </w:r>
        <w:r w:rsidR="00044844" w:rsidRPr="00CB4EB3">
          <w:rPr>
            <w:rFonts w:ascii="Stone Sans II ITC Com Lt Cn" w:hAnsi="Stone Sans II ITC Com Lt Cn"/>
            <w:color w:val="BFBFBF"/>
            <w:sz w:val="18"/>
            <w:szCs w:val="18"/>
          </w:rPr>
          <w:t xml:space="preserve">von </w:t>
        </w:r>
        <w:r w:rsidR="00044844" w:rsidRPr="00CB4EB3">
          <w:rPr>
            <w:rFonts w:ascii="Stone Sans II ITC Com Lt Cn" w:hAnsi="Stone Sans II ITC Com Lt Cn"/>
            <w:b/>
            <w:color w:val="BFBFBF"/>
            <w:sz w:val="18"/>
            <w:szCs w:val="18"/>
          </w:rPr>
          <w:fldChar w:fldCharType="begin"/>
        </w:r>
        <w:r w:rsidR="00044844" w:rsidRPr="00CB4EB3">
          <w:rPr>
            <w:rFonts w:ascii="Stone Sans II ITC Com Lt Cn" w:hAnsi="Stone Sans II ITC Com Lt Cn"/>
            <w:b/>
            <w:color w:val="BFBFBF"/>
            <w:sz w:val="18"/>
            <w:szCs w:val="18"/>
          </w:rPr>
          <w:instrText xml:space="preserve"> NUMPAGES   \* MERGEFORMAT </w:instrText>
        </w:r>
        <w:r w:rsidR="00044844" w:rsidRPr="00CB4EB3">
          <w:rPr>
            <w:rFonts w:ascii="Stone Sans II ITC Com Lt Cn" w:hAnsi="Stone Sans II ITC Com Lt Cn"/>
            <w:b/>
            <w:color w:val="BFBFBF"/>
            <w:sz w:val="18"/>
            <w:szCs w:val="18"/>
          </w:rPr>
          <w:fldChar w:fldCharType="separate"/>
        </w:r>
        <w:r w:rsidR="005C18B7">
          <w:rPr>
            <w:rFonts w:ascii="Stone Sans II ITC Com Lt Cn" w:hAnsi="Stone Sans II ITC Com Lt Cn"/>
            <w:b/>
            <w:noProof/>
            <w:color w:val="BFBFBF"/>
            <w:sz w:val="18"/>
            <w:szCs w:val="18"/>
          </w:rPr>
          <w:t>2</w:t>
        </w:r>
        <w:r w:rsidR="00044844" w:rsidRPr="00CB4EB3">
          <w:rPr>
            <w:rFonts w:ascii="Stone Sans II ITC Com Lt Cn" w:hAnsi="Stone Sans II ITC Com Lt Cn"/>
            <w:b/>
            <w:color w:val="BFBFBF"/>
            <w:sz w:val="18"/>
            <w:szCs w:val="18"/>
          </w:rPr>
          <w:fldChar w:fldCharType="end"/>
        </w:r>
      </w:sdtContent>
    </w:sdt>
    <w:r w:rsidR="003E71A3">
      <w:rPr>
        <w:rFonts w:ascii="Stone Sans II ITC Com Lt Cn" w:hAnsi="Stone Sans II ITC Com Lt Cn"/>
        <w:b/>
        <w:color w:val="BFBFBF"/>
        <w:sz w:val="18"/>
        <w:szCs w:val="18"/>
      </w:rPr>
      <w:tab/>
    </w:r>
  </w:p>
  <w:p w14:paraId="34C76B15" w14:textId="77777777" w:rsidR="00044844" w:rsidRDefault="0004484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CDEEB" w14:textId="77777777" w:rsidR="0021143A" w:rsidRDefault="0021143A" w:rsidP="00044844">
      <w:pPr>
        <w:spacing w:after="0" w:line="240" w:lineRule="auto"/>
      </w:pPr>
      <w:r>
        <w:separator/>
      </w:r>
    </w:p>
  </w:footnote>
  <w:footnote w:type="continuationSeparator" w:id="0">
    <w:p w14:paraId="26B96C91" w14:textId="77777777" w:rsidR="0021143A" w:rsidRDefault="0021143A" w:rsidP="000448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8671E"/>
    <w:multiLevelType w:val="hybridMultilevel"/>
    <w:tmpl w:val="9CFA8D46"/>
    <w:lvl w:ilvl="0" w:tplc="65E43834">
      <w:start w:val="2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455251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oRADokID" w:val="1519"/>
    <w:docVar w:name="NoRADokVerTyp" w:val="NoRADokument"/>
  </w:docVars>
  <w:rsids>
    <w:rsidRoot w:val="00044844"/>
    <w:rsid w:val="000130E6"/>
    <w:rsid w:val="000241E9"/>
    <w:rsid w:val="0003347E"/>
    <w:rsid w:val="00034D8F"/>
    <w:rsid w:val="00036DD8"/>
    <w:rsid w:val="0003777C"/>
    <w:rsid w:val="0004480A"/>
    <w:rsid w:val="00044844"/>
    <w:rsid w:val="0006391B"/>
    <w:rsid w:val="00066AD4"/>
    <w:rsid w:val="00067C2E"/>
    <w:rsid w:val="00071C2F"/>
    <w:rsid w:val="000A50B5"/>
    <w:rsid w:val="000B31AA"/>
    <w:rsid w:val="000B433D"/>
    <w:rsid w:val="000F78C7"/>
    <w:rsid w:val="001024AB"/>
    <w:rsid w:val="00105B60"/>
    <w:rsid w:val="001216DA"/>
    <w:rsid w:val="0013362A"/>
    <w:rsid w:val="0013479F"/>
    <w:rsid w:val="00182CEE"/>
    <w:rsid w:val="001902FC"/>
    <w:rsid w:val="001A1EDB"/>
    <w:rsid w:val="001A4B88"/>
    <w:rsid w:val="001A7868"/>
    <w:rsid w:val="001B22EF"/>
    <w:rsid w:val="001B57F6"/>
    <w:rsid w:val="001D34AF"/>
    <w:rsid w:val="001D5E70"/>
    <w:rsid w:val="00204BF2"/>
    <w:rsid w:val="002064C6"/>
    <w:rsid w:val="0021143A"/>
    <w:rsid w:val="002235AE"/>
    <w:rsid w:val="00226B61"/>
    <w:rsid w:val="002363FF"/>
    <w:rsid w:val="00245EDA"/>
    <w:rsid w:val="002503CD"/>
    <w:rsid w:val="00252708"/>
    <w:rsid w:val="00252EC7"/>
    <w:rsid w:val="00265A18"/>
    <w:rsid w:val="00270A69"/>
    <w:rsid w:val="00274321"/>
    <w:rsid w:val="00284790"/>
    <w:rsid w:val="00287AC4"/>
    <w:rsid w:val="002B7D25"/>
    <w:rsid w:val="002D4FDB"/>
    <w:rsid w:val="002D67A7"/>
    <w:rsid w:val="002D77CC"/>
    <w:rsid w:val="002E7E51"/>
    <w:rsid w:val="003058CA"/>
    <w:rsid w:val="00311284"/>
    <w:rsid w:val="0031267A"/>
    <w:rsid w:val="003324AB"/>
    <w:rsid w:val="00350908"/>
    <w:rsid w:val="003567B5"/>
    <w:rsid w:val="00356D87"/>
    <w:rsid w:val="0036366E"/>
    <w:rsid w:val="00376682"/>
    <w:rsid w:val="003931C9"/>
    <w:rsid w:val="003A0B9E"/>
    <w:rsid w:val="003B38E3"/>
    <w:rsid w:val="003B4C8D"/>
    <w:rsid w:val="003B4CE2"/>
    <w:rsid w:val="003C3DA2"/>
    <w:rsid w:val="003D4EEB"/>
    <w:rsid w:val="003E00A4"/>
    <w:rsid w:val="003E6B8C"/>
    <w:rsid w:val="003E71A3"/>
    <w:rsid w:val="003F31E9"/>
    <w:rsid w:val="004005BD"/>
    <w:rsid w:val="00406A3C"/>
    <w:rsid w:val="00416C87"/>
    <w:rsid w:val="00422EC6"/>
    <w:rsid w:val="004445DB"/>
    <w:rsid w:val="00447457"/>
    <w:rsid w:val="00462739"/>
    <w:rsid w:val="0047148D"/>
    <w:rsid w:val="00472784"/>
    <w:rsid w:val="004D7038"/>
    <w:rsid w:val="004E7EF0"/>
    <w:rsid w:val="00504DA2"/>
    <w:rsid w:val="005068B0"/>
    <w:rsid w:val="0050698B"/>
    <w:rsid w:val="0053352C"/>
    <w:rsid w:val="00542585"/>
    <w:rsid w:val="00565445"/>
    <w:rsid w:val="00570E74"/>
    <w:rsid w:val="00576DF6"/>
    <w:rsid w:val="00582064"/>
    <w:rsid w:val="005A40D0"/>
    <w:rsid w:val="005B08C3"/>
    <w:rsid w:val="005C18B7"/>
    <w:rsid w:val="00611C56"/>
    <w:rsid w:val="00612C08"/>
    <w:rsid w:val="006132BD"/>
    <w:rsid w:val="00634424"/>
    <w:rsid w:val="00634F90"/>
    <w:rsid w:val="00642242"/>
    <w:rsid w:val="00646509"/>
    <w:rsid w:val="00651EE9"/>
    <w:rsid w:val="00652B4C"/>
    <w:rsid w:val="0066400A"/>
    <w:rsid w:val="0067033C"/>
    <w:rsid w:val="006764EF"/>
    <w:rsid w:val="006778AF"/>
    <w:rsid w:val="00685A91"/>
    <w:rsid w:val="006971EE"/>
    <w:rsid w:val="006A0C3C"/>
    <w:rsid w:val="006C398F"/>
    <w:rsid w:val="006D5DC3"/>
    <w:rsid w:val="006E0031"/>
    <w:rsid w:val="006E02FD"/>
    <w:rsid w:val="00704140"/>
    <w:rsid w:val="00716728"/>
    <w:rsid w:val="0071733B"/>
    <w:rsid w:val="007179E6"/>
    <w:rsid w:val="0072074B"/>
    <w:rsid w:val="0074008A"/>
    <w:rsid w:val="0075575F"/>
    <w:rsid w:val="00762FA7"/>
    <w:rsid w:val="00773FBF"/>
    <w:rsid w:val="00775017"/>
    <w:rsid w:val="00790667"/>
    <w:rsid w:val="00794EB3"/>
    <w:rsid w:val="007A1EAA"/>
    <w:rsid w:val="007A55F6"/>
    <w:rsid w:val="007A5CBC"/>
    <w:rsid w:val="007D3B6D"/>
    <w:rsid w:val="007D588F"/>
    <w:rsid w:val="007D79B0"/>
    <w:rsid w:val="007E45DA"/>
    <w:rsid w:val="007F15DC"/>
    <w:rsid w:val="007F4502"/>
    <w:rsid w:val="00817C8D"/>
    <w:rsid w:val="00826048"/>
    <w:rsid w:val="00842DC3"/>
    <w:rsid w:val="00844456"/>
    <w:rsid w:val="0086253F"/>
    <w:rsid w:val="00862802"/>
    <w:rsid w:val="00864546"/>
    <w:rsid w:val="0089738F"/>
    <w:rsid w:val="008B165E"/>
    <w:rsid w:val="008B186B"/>
    <w:rsid w:val="008C7D53"/>
    <w:rsid w:val="008D01B3"/>
    <w:rsid w:val="008D6881"/>
    <w:rsid w:val="008E6D30"/>
    <w:rsid w:val="008F2732"/>
    <w:rsid w:val="00901416"/>
    <w:rsid w:val="00902C82"/>
    <w:rsid w:val="00920654"/>
    <w:rsid w:val="00932EB0"/>
    <w:rsid w:val="00934C1D"/>
    <w:rsid w:val="00936927"/>
    <w:rsid w:val="009503EA"/>
    <w:rsid w:val="00951E26"/>
    <w:rsid w:val="009645F1"/>
    <w:rsid w:val="00984FC7"/>
    <w:rsid w:val="00995C8F"/>
    <w:rsid w:val="009A4B51"/>
    <w:rsid w:val="009B0345"/>
    <w:rsid w:val="009C0B31"/>
    <w:rsid w:val="009C5B44"/>
    <w:rsid w:val="009D7D4D"/>
    <w:rsid w:val="009E094C"/>
    <w:rsid w:val="009E123B"/>
    <w:rsid w:val="00A165AE"/>
    <w:rsid w:val="00A30148"/>
    <w:rsid w:val="00A3561E"/>
    <w:rsid w:val="00A4013C"/>
    <w:rsid w:val="00A42521"/>
    <w:rsid w:val="00A5469C"/>
    <w:rsid w:val="00A5514E"/>
    <w:rsid w:val="00A76CCE"/>
    <w:rsid w:val="00A84D08"/>
    <w:rsid w:val="00A9688F"/>
    <w:rsid w:val="00AA378D"/>
    <w:rsid w:val="00AD5F9C"/>
    <w:rsid w:val="00B0337C"/>
    <w:rsid w:val="00B05F4C"/>
    <w:rsid w:val="00B14C0F"/>
    <w:rsid w:val="00B16ED4"/>
    <w:rsid w:val="00B25925"/>
    <w:rsid w:val="00B354B3"/>
    <w:rsid w:val="00B40415"/>
    <w:rsid w:val="00B4327B"/>
    <w:rsid w:val="00B44E7E"/>
    <w:rsid w:val="00B46ECD"/>
    <w:rsid w:val="00B658EA"/>
    <w:rsid w:val="00B728A3"/>
    <w:rsid w:val="00B74E51"/>
    <w:rsid w:val="00B85748"/>
    <w:rsid w:val="00B9116A"/>
    <w:rsid w:val="00B92898"/>
    <w:rsid w:val="00B95F54"/>
    <w:rsid w:val="00BC2F52"/>
    <w:rsid w:val="00BC6514"/>
    <w:rsid w:val="00BD0911"/>
    <w:rsid w:val="00BE0C1A"/>
    <w:rsid w:val="00C00711"/>
    <w:rsid w:val="00C03AA0"/>
    <w:rsid w:val="00C04923"/>
    <w:rsid w:val="00C050A2"/>
    <w:rsid w:val="00C05110"/>
    <w:rsid w:val="00C1045C"/>
    <w:rsid w:val="00C274FC"/>
    <w:rsid w:val="00C42ED0"/>
    <w:rsid w:val="00C475C3"/>
    <w:rsid w:val="00C5681D"/>
    <w:rsid w:val="00C578FB"/>
    <w:rsid w:val="00C63C4E"/>
    <w:rsid w:val="00C64668"/>
    <w:rsid w:val="00C67646"/>
    <w:rsid w:val="00C875AF"/>
    <w:rsid w:val="00C90F38"/>
    <w:rsid w:val="00C92CD9"/>
    <w:rsid w:val="00C93C2C"/>
    <w:rsid w:val="00C961BA"/>
    <w:rsid w:val="00C97733"/>
    <w:rsid w:val="00CA2083"/>
    <w:rsid w:val="00CB1D67"/>
    <w:rsid w:val="00CB4EB3"/>
    <w:rsid w:val="00CB5832"/>
    <w:rsid w:val="00CB6233"/>
    <w:rsid w:val="00CB6EC1"/>
    <w:rsid w:val="00D01A8A"/>
    <w:rsid w:val="00D01A91"/>
    <w:rsid w:val="00D0325C"/>
    <w:rsid w:val="00D121B9"/>
    <w:rsid w:val="00D124E8"/>
    <w:rsid w:val="00D13E71"/>
    <w:rsid w:val="00D31A39"/>
    <w:rsid w:val="00D34C02"/>
    <w:rsid w:val="00D369FF"/>
    <w:rsid w:val="00D44918"/>
    <w:rsid w:val="00D57851"/>
    <w:rsid w:val="00D869B8"/>
    <w:rsid w:val="00D9042E"/>
    <w:rsid w:val="00D92401"/>
    <w:rsid w:val="00D975E2"/>
    <w:rsid w:val="00DA6BD9"/>
    <w:rsid w:val="00DB60A8"/>
    <w:rsid w:val="00DC4EF5"/>
    <w:rsid w:val="00DD17B3"/>
    <w:rsid w:val="00DD6AA3"/>
    <w:rsid w:val="00DE4604"/>
    <w:rsid w:val="00DE73D8"/>
    <w:rsid w:val="00DF40BA"/>
    <w:rsid w:val="00E0433B"/>
    <w:rsid w:val="00E106D4"/>
    <w:rsid w:val="00E13373"/>
    <w:rsid w:val="00E23C9A"/>
    <w:rsid w:val="00E3788D"/>
    <w:rsid w:val="00E41F1B"/>
    <w:rsid w:val="00E43F83"/>
    <w:rsid w:val="00E53EA6"/>
    <w:rsid w:val="00E53ED5"/>
    <w:rsid w:val="00E61E50"/>
    <w:rsid w:val="00E764D5"/>
    <w:rsid w:val="00EB6750"/>
    <w:rsid w:val="00EC2B96"/>
    <w:rsid w:val="00EC4D69"/>
    <w:rsid w:val="00EC7A45"/>
    <w:rsid w:val="00EC7A7C"/>
    <w:rsid w:val="00ED142A"/>
    <w:rsid w:val="00ED462B"/>
    <w:rsid w:val="00ED6ED3"/>
    <w:rsid w:val="00EE4218"/>
    <w:rsid w:val="00EE5502"/>
    <w:rsid w:val="00EF60C1"/>
    <w:rsid w:val="00F02503"/>
    <w:rsid w:val="00F05BFD"/>
    <w:rsid w:val="00F07F40"/>
    <w:rsid w:val="00F1072F"/>
    <w:rsid w:val="00F13F80"/>
    <w:rsid w:val="00F2386F"/>
    <w:rsid w:val="00F546F0"/>
    <w:rsid w:val="00F83C2D"/>
    <w:rsid w:val="00F840C7"/>
    <w:rsid w:val="00F84967"/>
    <w:rsid w:val="00FA17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8793D"/>
  <w15:docId w15:val="{110A9366-4562-4E62-8FF5-09E853CDC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448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44844"/>
  </w:style>
  <w:style w:type="paragraph" w:styleId="Fuzeile">
    <w:name w:val="footer"/>
    <w:basedOn w:val="Standard"/>
    <w:link w:val="FuzeileZchn"/>
    <w:uiPriority w:val="99"/>
    <w:unhideWhenUsed/>
    <w:rsid w:val="000448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4844"/>
  </w:style>
  <w:style w:type="paragraph" w:styleId="Sprechblasentext">
    <w:name w:val="Balloon Text"/>
    <w:basedOn w:val="Standard"/>
    <w:link w:val="SprechblasentextZchn"/>
    <w:uiPriority w:val="99"/>
    <w:semiHidden/>
    <w:unhideWhenUsed/>
    <w:rsid w:val="0004484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44844"/>
    <w:rPr>
      <w:rFonts w:ascii="Tahoma" w:hAnsi="Tahoma" w:cs="Tahoma"/>
      <w:sz w:val="16"/>
      <w:szCs w:val="16"/>
    </w:rPr>
  </w:style>
  <w:style w:type="paragraph" w:customStyle="1" w:styleId="Default">
    <w:name w:val="Default"/>
    <w:rsid w:val="0092065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7179E6"/>
    <w:rPr>
      <w:color w:val="0000FF" w:themeColor="hyperlink"/>
      <w:u w:val="single"/>
    </w:rPr>
  </w:style>
  <w:style w:type="character" w:customStyle="1" w:styleId="58cl">
    <w:name w:val="_58cl"/>
    <w:basedOn w:val="Absatz-Standardschriftart"/>
    <w:rsid w:val="0075575F"/>
  </w:style>
  <w:style w:type="character" w:customStyle="1" w:styleId="58cm">
    <w:name w:val="_58cm"/>
    <w:basedOn w:val="Absatz-Standardschriftart"/>
    <w:rsid w:val="0075575F"/>
  </w:style>
  <w:style w:type="character" w:customStyle="1" w:styleId="textexposedshow">
    <w:name w:val="text_exposed_show"/>
    <w:basedOn w:val="Absatz-Standardschriftart"/>
    <w:rsid w:val="0075575F"/>
  </w:style>
  <w:style w:type="paragraph" w:styleId="StandardWeb">
    <w:name w:val="Normal (Web)"/>
    <w:basedOn w:val="Standard"/>
    <w:uiPriority w:val="99"/>
    <w:unhideWhenUsed/>
    <w:rsid w:val="003B4CE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3B4CE2"/>
    <w:rPr>
      <w:b/>
      <w:bCs/>
    </w:rPr>
  </w:style>
  <w:style w:type="character" w:customStyle="1" w:styleId="nc684nl6">
    <w:name w:val="nc684nl6"/>
    <w:basedOn w:val="Absatz-Standardschriftart"/>
    <w:rsid w:val="0006391B"/>
  </w:style>
  <w:style w:type="character" w:styleId="Kommentarzeichen">
    <w:name w:val="annotation reference"/>
    <w:basedOn w:val="Absatz-Standardschriftart"/>
    <w:uiPriority w:val="99"/>
    <w:semiHidden/>
    <w:unhideWhenUsed/>
    <w:rsid w:val="001A4B88"/>
    <w:rPr>
      <w:sz w:val="16"/>
      <w:szCs w:val="16"/>
    </w:rPr>
  </w:style>
  <w:style w:type="paragraph" w:styleId="Kommentartext">
    <w:name w:val="annotation text"/>
    <w:basedOn w:val="Standard"/>
    <w:link w:val="KommentartextZchn"/>
    <w:uiPriority w:val="99"/>
    <w:unhideWhenUsed/>
    <w:rsid w:val="001A4B88"/>
    <w:pPr>
      <w:spacing w:line="240" w:lineRule="auto"/>
    </w:pPr>
    <w:rPr>
      <w:sz w:val="20"/>
      <w:szCs w:val="20"/>
    </w:rPr>
  </w:style>
  <w:style w:type="character" w:customStyle="1" w:styleId="KommentartextZchn">
    <w:name w:val="Kommentartext Zchn"/>
    <w:basedOn w:val="Absatz-Standardschriftart"/>
    <w:link w:val="Kommentartext"/>
    <w:uiPriority w:val="99"/>
    <w:rsid w:val="001A4B88"/>
    <w:rPr>
      <w:sz w:val="20"/>
      <w:szCs w:val="20"/>
    </w:rPr>
  </w:style>
  <w:style w:type="paragraph" w:styleId="Kommentarthema">
    <w:name w:val="annotation subject"/>
    <w:basedOn w:val="Kommentartext"/>
    <w:next w:val="Kommentartext"/>
    <w:link w:val="KommentarthemaZchn"/>
    <w:uiPriority w:val="99"/>
    <w:semiHidden/>
    <w:unhideWhenUsed/>
    <w:rsid w:val="001A4B88"/>
    <w:rPr>
      <w:b/>
      <w:bCs/>
    </w:rPr>
  </w:style>
  <w:style w:type="character" w:customStyle="1" w:styleId="KommentarthemaZchn">
    <w:name w:val="Kommentarthema Zchn"/>
    <w:basedOn w:val="KommentartextZchn"/>
    <w:link w:val="Kommentarthema"/>
    <w:uiPriority w:val="99"/>
    <w:semiHidden/>
    <w:rsid w:val="001A4B88"/>
    <w:rPr>
      <w:b/>
      <w:bCs/>
      <w:sz w:val="20"/>
      <w:szCs w:val="20"/>
    </w:rPr>
  </w:style>
  <w:style w:type="character" w:styleId="Hervorhebung">
    <w:name w:val="Emphasis"/>
    <w:basedOn w:val="Absatz-Standardschriftart"/>
    <w:uiPriority w:val="20"/>
    <w:qFormat/>
    <w:rsid w:val="00634F90"/>
    <w:rPr>
      <w:i/>
      <w:iCs/>
    </w:rPr>
  </w:style>
  <w:style w:type="paragraph" w:styleId="Beschriftung">
    <w:name w:val="caption"/>
    <w:basedOn w:val="Standard"/>
    <w:next w:val="Standard"/>
    <w:uiPriority w:val="35"/>
    <w:unhideWhenUsed/>
    <w:qFormat/>
    <w:rsid w:val="00542585"/>
    <w:pPr>
      <w:spacing w:line="240" w:lineRule="auto"/>
    </w:pPr>
    <w:rPr>
      <w:i/>
      <w:iCs/>
      <w:color w:val="1F497D" w:themeColor="text2"/>
      <w:sz w:val="18"/>
      <w:szCs w:val="18"/>
    </w:rPr>
  </w:style>
  <w:style w:type="character" w:styleId="NichtaufgelsteErwhnung">
    <w:name w:val="Unresolved Mention"/>
    <w:basedOn w:val="Absatz-Standardschriftart"/>
    <w:uiPriority w:val="99"/>
    <w:semiHidden/>
    <w:unhideWhenUsed/>
    <w:rsid w:val="004627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7565">
      <w:bodyDiv w:val="1"/>
      <w:marLeft w:val="0"/>
      <w:marRight w:val="0"/>
      <w:marTop w:val="0"/>
      <w:marBottom w:val="0"/>
      <w:divBdr>
        <w:top w:val="none" w:sz="0" w:space="0" w:color="auto"/>
        <w:left w:val="none" w:sz="0" w:space="0" w:color="auto"/>
        <w:bottom w:val="none" w:sz="0" w:space="0" w:color="auto"/>
        <w:right w:val="none" w:sz="0" w:space="0" w:color="auto"/>
      </w:divBdr>
    </w:div>
    <w:div w:id="1146969873">
      <w:bodyDiv w:val="1"/>
      <w:marLeft w:val="0"/>
      <w:marRight w:val="0"/>
      <w:marTop w:val="0"/>
      <w:marBottom w:val="0"/>
      <w:divBdr>
        <w:top w:val="none" w:sz="0" w:space="0" w:color="auto"/>
        <w:left w:val="none" w:sz="0" w:space="0" w:color="auto"/>
        <w:bottom w:val="none" w:sz="0" w:space="0" w:color="auto"/>
        <w:right w:val="none" w:sz="0" w:space="0" w:color="auto"/>
      </w:divBdr>
    </w:div>
    <w:div w:id="1368019622">
      <w:bodyDiv w:val="1"/>
      <w:marLeft w:val="0"/>
      <w:marRight w:val="0"/>
      <w:marTop w:val="0"/>
      <w:marBottom w:val="0"/>
      <w:divBdr>
        <w:top w:val="none" w:sz="0" w:space="0" w:color="auto"/>
        <w:left w:val="none" w:sz="0" w:space="0" w:color="auto"/>
        <w:bottom w:val="none" w:sz="0" w:space="0" w:color="auto"/>
        <w:right w:val="none" w:sz="0" w:space="0" w:color="auto"/>
      </w:divBdr>
    </w:div>
    <w:div w:id="1651400166">
      <w:bodyDiv w:val="1"/>
      <w:marLeft w:val="0"/>
      <w:marRight w:val="0"/>
      <w:marTop w:val="0"/>
      <w:marBottom w:val="0"/>
      <w:divBdr>
        <w:top w:val="none" w:sz="0" w:space="0" w:color="auto"/>
        <w:left w:val="none" w:sz="0" w:space="0" w:color="auto"/>
        <w:bottom w:val="none" w:sz="0" w:space="0" w:color="auto"/>
        <w:right w:val="none" w:sz="0" w:space="0" w:color="auto"/>
      </w:divBdr>
    </w:div>
    <w:div w:id="1844927238">
      <w:bodyDiv w:val="1"/>
      <w:marLeft w:val="0"/>
      <w:marRight w:val="0"/>
      <w:marTop w:val="0"/>
      <w:marBottom w:val="0"/>
      <w:divBdr>
        <w:top w:val="none" w:sz="0" w:space="0" w:color="auto"/>
        <w:left w:val="none" w:sz="0" w:space="0" w:color="auto"/>
        <w:bottom w:val="none" w:sz="0" w:space="0" w:color="auto"/>
        <w:right w:val="none" w:sz="0" w:space="0" w:color="auto"/>
      </w:divBdr>
    </w:div>
    <w:div w:id="187210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co.de/powerbloc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tanja.holst@ac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tel:+494331354174"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s://www.instagram.com/aco_gmbh/" TargetMode="External"/><Relationship Id="rId7" Type="http://schemas.openxmlformats.org/officeDocument/2006/relationships/hyperlink" Target="https://www.linkedin.com/company/9254055/" TargetMode="External"/><Relationship Id="rId2" Type="http://schemas.openxmlformats.org/officeDocument/2006/relationships/image" Target="media/image4.jpeg"/><Relationship Id="rId1" Type="http://schemas.openxmlformats.org/officeDocument/2006/relationships/hyperlink" Target="https://www.pinterest.de/aco_group/" TargetMode="External"/><Relationship Id="rId6" Type="http://schemas.openxmlformats.org/officeDocument/2006/relationships/image" Target="media/image6.jpeg"/><Relationship Id="rId5" Type="http://schemas.openxmlformats.org/officeDocument/2006/relationships/hyperlink" Target="https://www.youtube.com/user/ACO" TargetMode="External"/><Relationship Id="rId10" Type="http://schemas.openxmlformats.org/officeDocument/2006/relationships/image" Target="media/image8.jpeg"/><Relationship Id="rId4" Type="http://schemas.openxmlformats.org/officeDocument/2006/relationships/image" Target="media/image5.jpeg"/><Relationship Id="rId9" Type="http://schemas.openxmlformats.org/officeDocument/2006/relationships/hyperlink" Target="https://www.facebook.com/aco.gmbh/"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13BF2190340498494A9A1FF180FE7" ma:contentTypeVersion="14" ma:contentTypeDescription="Create a new document." ma:contentTypeScope="" ma:versionID="46c78b81dc16181786e9167bc5dcd3a4">
  <xsd:schema xmlns:xsd="http://www.w3.org/2001/XMLSchema" xmlns:xs="http://www.w3.org/2001/XMLSchema" xmlns:p="http://schemas.microsoft.com/office/2006/metadata/properties" xmlns:ns3="1dbbf5a9-2a0b-4ada-a975-ebcf54b62960" xmlns:ns4="565f8b1a-46b3-4429-a7c5-210ffb2a9658" targetNamespace="http://schemas.microsoft.com/office/2006/metadata/properties" ma:root="true" ma:fieldsID="085dec1cd8988839265fe042c07be197" ns3:_="" ns4:_="">
    <xsd:import namespace="1dbbf5a9-2a0b-4ada-a975-ebcf54b62960"/>
    <xsd:import namespace="565f8b1a-46b3-4429-a7c5-210ffb2a965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bf5a9-2a0b-4ada-a975-ebcf54b629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5f8b1a-46b3-4429-a7c5-210ffb2a965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A2AD56-8CB4-4908-B470-1EE7E4115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bf5a9-2a0b-4ada-a975-ebcf54b62960"/>
    <ds:schemaRef ds:uri="565f8b1a-46b3-4429-a7c5-210ffb2a9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49B512-50BD-4E7C-9F70-EBE033DB7D92}">
  <ds:schemaRefs>
    <ds:schemaRef ds:uri="http://schemas.openxmlformats.org/officeDocument/2006/bibliography"/>
  </ds:schemaRefs>
</ds:datastoreItem>
</file>

<file path=customXml/itemProps3.xml><?xml version="1.0" encoding="utf-8"?>
<ds:datastoreItem xmlns:ds="http://schemas.openxmlformats.org/officeDocument/2006/customXml" ds:itemID="{2D51669B-BC45-4E96-BBF6-69D21E71A72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F242B5-E1AD-4C56-BDCD-07040D189C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494</Words>
  <Characters>3113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ACO Severin Ahlmann GmbH &amp; Co KG</Company>
  <LinksUpToDate>false</LinksUpToDate>
  <CharactersWithSpaces>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Voß, Britta</dc:creator>
  <cp:lastModifiedBy>Holst, Tanja</cp:lastModifiedBy>
  <cp:revision>18</cp:revision>
  <cp:lastPrinted>2022-06-17T08:55:00Z</cp:lastPrinted>
  <dcterms:created xsi:type="dcterms:W3CDTF">2024-01-08T08:24:00Z</dcterms:created>
  <dcterms:modified xsi:type="dcterms:W3CDTF">2024-05-03T09:27:00Z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0x01010011713BF2190340498494A9A1FF180FE7</vt:lpwstr>
  </property>
  <property fmtid="{D5CDD505-2E9C-101B-9397-08002B2CF9AE}" pid="3" name="MSIP_Label_a02c3a69-5bb1-4896-a591-f45b96dda59d_Enabled">
    <vt:lpwstr>true</vt:lpwstr>
  </property>
  <property fmtid="{D5CDD505-2E9C-101B-9397-08002B2CF9AE}" pid="4" name="MSIP_Label_a02c3a69-5bb1-4896-a591-f45b96dda59d_SetDate">
    <vt:lpwstr>2023-03-02T07:13:28Z</vt:lpwstr>
  </property>
  <property fmtid="{D5CDD505-2E9C-101B-9397-08002B2CF9AE}" pid="5" name="MSIP_Label_a02c3a69-5bb1-4896-a591-f45b96dda59d_Method">
    <vt:lpwstr>Standard</vt:lpwstr>
  </property>
  <property fmtid="{D5CDD505-2E9C-101B-9397-08002B2CF9AE}" pid="6" name="MSIP_Label_a02c3a69-5bb1-4896-a591-f45b96dda59d_Name">
    <vt:lpwstr>Public</vt:lpwstr>
  </property>
  <property fmtid="{D5CDD505-2E9C-101B-9397-08002B2CF9AE}" pid="7" name="MSIP_Label_a02c3a69-5bb1-4896-a591-f45b96dda59d_SiteId">
    <vt:lpwstr>b53f6739-82d2-42c3-8e8d-458bdd89805b</vt:lpwstr>
  </property>
  <property fmtid="{D5CDD505-2E9C-101B-9397-08002B2CF9AE}" pid="8" name="MSIP_Label_a02c3a69-5bb1-4896-a591-f45b96dda59d_ActionId">
    <vt:lpwstr>80c6b7c1-64fb-41a8-b7b9-0c998d865db7</vt:lpwstr>
  </property>
  <property fmtid="{D5CDD505-2E9C-101B-9397-08002B2CF9AE}" pid="9" name="MSIP_Label_a02c3a69-5bb1-4896-a591-f45b96dda59d_ContentBits">
    <vt:lpwstr>0</vt:lpwstr>
  </property>
</Properties>
</file>