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AA3A20" w14:textId="77777777" w:rsidR="004D0869" w:rsidRPr="004D0869" w:rsidRDefault="004D0869">
      <w:pPr>
        <w:rPr>
          <w:rFonts w:ascii="Stone Sans II ITC Com Bk" w:hAnsi="Stone Sans II ITC Com Bk"/>
        </w:rPr>
      </w:pPr>
    </w:p>
    <w:p w14:paraId="13FB6A62" w14:textId="77777777" w:rsidR="004D0869" w:rsidRPr="004D0869" w:rsidRDefault="004D0869">
      <w:pPr>
        <w:rPr>
          <w:rFonts w:ascii="Stone Sans II ITC Com Bk" w:hAnsi="Stone Sans II ITC Com Bk"/>
        </w:rPr>
      </w:pPr>
    </w:p>
    <w:p w14:paraId="6BE39954" w14:textId="77777777" w:rsidR="004D0869" w:rsidRPr="004D0869" w:rsidRDefault="004D0869">
      <w:pPr>
        <w:rPr>
          <w:rFonts w:ascii="Stone Sans II ITC Com Bk" w:hAnsi="Stone Sans II ITC Com Bk"/>
        </w:rPr>
      </w:pPr>
    </w:p>
    <w:p w14:paraId="201BB4BD" w14:textId="77777777" w:rsidR="004D0869" w:rsidRPr="004D0869" w:rsidRDefault="004D0869">
      <w:pPr>
        <w:rPr>
          <w:rFonts w:ascii="Stone Sans II ITC Com Bk" w:hAnsi="Stone Sans II ITC Com Bk"/>
        </w:rPr>
      </w:pPr>
    </w:p>
    <w:p w14:paraId="48F07892" w14:textId="20759F40" w:rsidR="006A7D65" w:rsidRPr="004D0869" w:rsidRDefault="004D0869">
      <w:pPr>
        <w:rPr>
          <w:rFonts w:ascii="Stone Sans II ITC Com Bk" w:hAnsi="Stone Sans II ITC Com Bk"/>
          <w:sz w:val="32"/>
          <w:szCs w:val="32"/>
        </w:rPr>
      </w:pPr>
      <w:r w:rsidRPr="004D0869">
        <w:rPr>
          <w:rFonts w:ascii="Stone Sans II ITC Com Bk" w:hAnsi="Stone Sans II ITC Com Bk" w:cs="NewsGothic,Bold"/>
          <w:b/>
          <w:bCs/>
          <w:noProof/>
          <w:sz w:val="36"/>
          <w:szCs w:val="30"/>
          <w:lang w:eastAsia="de-DE"/>
        </w:rPr>
        <w:drawing>
          <wp:anchor distT="0" distB="0" distL="114300" distR="114300" simplePos="0" relativeHeight="251659264" behindDoc="0" locked="0" layoutInCell="1" allowOverlap="1" wp14:anchorId="5D19DB0D" wp14:editId="15C49447">
            <wp:simplePos x="0" y="0"/>
            <wp:positionH relativeFrom="margin">
              <wp:align>right</wp:align>
            </wp:positionH>
            <wp:positionV relativeFrom="margin">
              <wp:align>top</wp:align>
            </wp:positionV>
            <wp:extent cx="827405" cy="827405"/>
            <wp:effectExtent l="0" t="0" r="0" b="0"/>
            <wp:wrapSquare wrapText="bothSides"/>
            <wp:docPr id="1" name="Grafik 1" descr="Ein Bild, das Grafiken, rot, Schrif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Grafiken, rot, Schrift, Screenshot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7405" cy="827405"/>
                    </a:xfrm>
                    <a:prstGeom prst="rect">
                      <a:avLst/>
                    </a:prstGeom>
                  </pic:spPr>
                </pic:pic>
              </a:graphicData>
            </a:graphic>
            <wp14:sizeRelH relativeFrom="margin">
              <wp14:pctWidth>0</wp14:pctWidth>
            </wp14:sizeRelH>
            <wp14:sizeRelV relativeFrom="margin">
              <wp14:pctHeight>0</wp14:pctHeight>
            </wp14:sizeRelV>
          </wp:anchor>
        </w:drawing>
      </w:r>
      <w:r w:rsidRPr="004D0869">
        <w:rPr>
          <w:rFonts w:ascii="Stone Sans II ITC Com Bk" w:hAnsi="Stone Sans II ITC Com Bk"/>
          <w:sz w:val="32"/>
          <w:szCs w:val="32"/>
        </w:rPr>
        <w:t>Pressemitteilung</w:t>
      </w:r>
    </w:p>
    <w:p w14:paraId="35E05FE6" w14:textId="77777777" w:rsidR="004D0869" w:rsidRDefault="004D0869">
      <w:pPr>
        <w:rPr>
          <w:rFonts w:ascii="Stone Sans II ITC Com Bk" w:hAnsi="Stone Sans II ITC Com Bk"/>
        </w:rPr>
      </w:pPr>
    </w:p>
    <w:p w14:paraId="5224E074" w14:textId="1E07B069" w:rsidR="004D0869" w:rsidRDefault="004D0869" w:rsidP="004D0869">
      <w:pPr>
        <w:jc w:val="right"/>
        <w:rPr>
          <w:rFonts w:ascii="Stone Sans II ITC Com Bk" w:hAnsi="Stone Sans II ITC Com Bk"/>
        </w:rPr>
      </w:pPr>
      <w:r>
        <w:rPr>
          <w:rFonts w:ascii="Stone Sans II ITC Com Bk" w:hAnsi="Stone Sans II ITC Com Bk"/>
        </w:rPr>
        <w:t xml:space="preserve">Büdelsdorf, </w:t>
      </w:r>
      <w:r w:rsidR="00E76E6E">
        <w:rPr>
          <w:rFonts w:ascii="Stone Sans II ITC Com Bk" w:hAnsi="Stone Sans II ITC Com Bk"/>
        </w:rPr>
        <w:t>13.01.2026</w:t>
      </w:r>
    </w:p>
    <w:p w14:paraId="553229C7" w14:textId="77777777" w:rsidR="00E722E3" w:rsidRDefault="00E722E3" w:rsidP="004D0869">
      <w:pPr>
        <w:jc w:val="right"/>
        <w:rPr>
          <w:rFonts w:ascii="Stone Sans II ITC Com Bk" w:hAnsi="Stone Sans II ITC Com Bk"/>
        </w:rPr>
      </w:pPr>
    </w:p>
    <w:p w14:paraId="77F1E214" w14:textId="77777777" w:rsidR="00E76E6E" w:rsidRPr="005647CD" w:rsidRDefault="00E76E6E" w:rsidP="005647CD">
      <w:pPr>
        <w:rPr>
          <w:rFonts w:ascii="Stone Sans II ITC Com Bk" w:hAnsi="Stone Sans II ITC Com Bk"/>
          <w:b/>
          <w:bCs/>
        </w:rPr>
      </w:pPr>
      <w:r w:rsidRPr="005647CD">
        <w:rPr>
          <w:rFonts w:ascii="Stone Sans II ITC Com Bk" w:hAnsi="Stone Sans II ITC Com Bk"/>
          <w:b/>
          <w:bCs/>
        </w:rPr>
        <w:t>Infrastructure by ACO auf der InfraTech 2026: Infrastruktur neu denken. Wasser sicher lenken.</w:t>
      </w:r>
    </w:p>
    <w:p w14:paraId="2E7023A3" w14:textId="77777777" w:rsidR="00E76E6E" w:rsidRPr="005647CD" w:rsidRDefault="00E76E6E" w:rsidP="005647CD">
      <w:pPr>
        <w:rPr>
          <w:rFonts w:ascii="Stone Sans II ITC Com Bk" w:hAnsi="Stone Sans II ITC Com Bk"/>
          <w:i/>
          <w:iCs/>
        </w:rPr>
      </w:pPr>
      <w:r w:rsidRPr="005647CD">
        <w:rPr>
          <w:rFonts w:ascii="Stone Sans II ITC Com Bk" w:hAnsi="Stone Sans II ITC Com Bk"/>
          <w:i/>
          <w:iCs/>
        </w:rPr>
        <w:t>Die InfraTech 2026 zeigt, wie kommunale Infrastruktur belastbarer, sicherer und nachhaltiger geplant und betrieben werden kann. Mit Infrastructure by ACO wird die Wasserführung entlang typischer Anwendungsbereiche greifbar – von urbanen Straßenräumen über Brücken bis hin zu Autobahnen und Schwerlastflächen. Die Exponate ordnen sich in den ACO WaterCycle ein und verdeutlichen den Anspruch, Wasser gezielt aufzunehmen, sicher zu leiten und verlustfrei zur Reinigung zu führen.</w:t>
      </w:r>
    </w:p>
    <w:p w14:paraId="58ADC2CE" w14:textId="0B505D7D" w:rsidR="00E76E6E" w:rsidRPr="00E76E6E" w:rsidRDefault="00E76E6E" w:rsidP="005647CD">
      <w:pPr>
        <w:rPr>
          <w:rFonts w:ascii="Stone Sans II ITC Com Bk" w:hAnsi="Stone Sans II ITC Com Bk"/>
        </w:rPr>
      </w:pPr>
      <w:r w:rsidRPr="00E76E6E">
        <w:rPr>
          <w:rFonts w:ascii="Stone Sans II ITC Com Bk" w:hAnsi="Stone Sans II ITC Com Bk"/>
        </w:rPr>
        <w:t>Infrastructure by ACO fokussiert auf Lösungen für die kommunale Praxis</w:t>
      </w:r>
      <w:r w:rsidR="001E719B">
        <w:rPr>
          <w:rFonts w:ascii="Stone Sans II ITC Com Bk" w:hAnsi="Stone Sans II ITC Com Bk"/>
        </w:rPr>
        <w:t>, Autobahnen, Brücken und Tunel</w:t>
      </w:r>
      <w:r w:rsidRPr="00E76E6E">
        <w:rPr>
          <w:rFonts w:ascii="Stone Sans II ITC Com Bk" w:hAnsi="Stone Sans II ITC Com Bk"/>
        </w:rPr>
        <w:t>. Im Bereich Kommunal/City stehen ACO Passavant Detego Schachtabdeckungen mit Wappen und mit Scharnier exemplarisch für Sicherheit, Langlebigkeit und eine optische Integration in das Stadtbild. Sie sind zentrale Bausteine sowohl im Neubau als auch in der Sanierung kommunaler Verkehrsflächen.</w:t>
      </w:r>
    </w:p>
    <w:p w14:paraId="1D17482F" w14:textId="77777777" w:rsidR="00E76E6E" w:rsidRPr="00E76E6E" w:rsidRDefault="00E76E6E" w:rsidP="005647CD">
      <w:pPr>
        <w:rPr>
          <w:rFonts w:ascii="Stone Sans II ITC Com Bk" w:hAnsi="Stone Sans II ITC Com Bk"/>
        </w:rPr>
      </w:pPr>
      <w:r w:rsidRPr="00E76E6E">
        <w:rPr>
          <w:rFonts w:ascii="Stone Sans II ITC Com Bk" w:hAnsi="Stone Sans II ITC Com Bk"/>
        </w:rPr>
        <w:t>Das Thema Brücke wird durch Linien- und Punktentwässerung adressiert. Die Kombination beider Prinzipien zeigt, wie Oberflächenwasser schnell erfasst, zügig abgeführt und die Bauwerksubstanz dauerhaft geschützt wird. Damit verbunden ist die Anforderung an eine robuste, wartungsarme Technik, die den erhöhten Belastungen auf Brücken gerecht wird.</w:t>
      </w:r>
    </w:p>
    <w:p w14:paraId="2138E368" w14:textId="5003158C" w:rsidR="00E76E6E" w:rsidRPr="00E76E6E" w:rsidRDefault="00E76E6E" w:rsidP="005647CD">
      <w:pPr>
        <w:rPr>
          <w:rFonts w:ascii="Stone Sans II ITC Com Bk" w:hAnsi="Stone Sans II ITC Com Bk"/>
        </w:rPr>
      </w:pPr>
      <w:r w:rsidRPr="00E76E6E">
        <w:rPr>
          <w:rFonts w:ascii="Stone Sans II ITC Com Bk" w:hAnsi="Stone Sans II ITC Com Bk"/>
        </w:rPr>
        <w:t>Für City &amp; Schwerlast demonstrieren monolithische Stahlbetonrinnen von ACO Pfuhler auf einer Rinnentreppe die hohe Stabilität und den sicheren Verbund mit dem umgebenden Belag. Auf der Rückseite ergänzen Powerblock und PowerDrain die Schwerlastpräsentation und verdeutlichen die Auslegung auf hohe Radlasten, dynamische Beanspruchungen und einen zuverl</w:t>
      </w:r>
      <w:r w:rsidRPr="00E76E6E">
        <w:rPr>
          <w:rFonts w:ascii="Stone Sans II ITC Com Bk" w:hAnsi="Stone Sans II ITC Com Bk" w:cs="Stone Sans II ITC Com Bk"/>
        </w:rPr>
        <w:t>ä</w:t>
      </w:r>
      <w:r w:rsidRPr="00E76E6E">
        <w:rPr>
          <w:rFonts w:ascii="Stone Sans II ITC Com Bk" w:hAnsi="Stone Sans II ITC Com Bk"/>
        </w:rPr>
        <w:t>ssigen Abfluss auch bei Starkregen. Bei den ACO DRAIN</w:t>
      </w:r>
      <w:r w:rsidRPr="00E76E6E">
        <w:rPr>
          <w:rFonts w:ascii="Stone Sans II ITC Com Bk" w:hAnsi="Stone Sans II ITC Com Bk" w:cs="Stone Sans II ITC Com Bk"/>
        </w:rPr>
        <w:t>®</w:t>
      </w:r>
      <w:r w:rsidRPr="00E76E6E">
        <w:rPr>
          <w:rFonts w:ascii="Stone Sans II ITC Com Bk" w:hAnsi="Stone Sans II ITC Com Bk"/>
        </w:rPr>
        <w:t xml:space="preserve"> Rinnen steht die</w:t>
      </w:r>
      <w:r w:rsidR="00003F1D">
        <w:rPr>
          <w:rFonts w:ascii="Stone Sans II ITC Com Bk" w:hAnsi="Stone Sans II ITC Com Bk"/>
        </w:rPr>
        <w:t xml:space="preserve"> </w:t>
      </w:r>
      <w:r w:rsidRPr="00E76E6E">
        <w:rPr>
          <w:rFonts w:ascii="Stone Sans II ITC Com Bk" w:hAnsi="Stone Sans II ITC Com Bk"/>
        </w:rPr>
        <w:t>Seal</w:t>
      </w:r>
      <w:r w:rsidRPr="00E76E6E">
        <w:rPr>
          <w:rFonts w:ascii="Cambria Math" w:hAnsi="Cambria Math" w:cs="Cambria Math"/>
        </w:rPr>
        <w:t>‑</w:t>
      </w:r>
      <w:r w:rsidRPr="00E76E6E">
        <w:rPr>
          <w:rFonts w:ascii="Stone Sans II ITC Com Bk" w:hAnsi="Stone Sans II ITC Com Bk"/>
        </w:rPr>
        <w:t>in</w:t>
      </w:r>
      <w:r w:rsidRPr="00E76E6E">
        <w:rPr>
          <w:rFonts w:ascii="Cambria Math" w:hAnsi="Cambria Math" w:cs="Cambria Math"/>
        </w:rPr>
        <w:t>‑</w:t>
      </w:r>
      <w:r w:rsidRPr="00E76E6E">
        <w:rPr>
          <w:rFonts w:ascii="Stone Sans II ITC Com Bk" w:hAnsi="Stone Sans II ITC Com Bk"/>
        </w:rPr>
        <w:t>Technologie im Fokus: Die integrierte Dichtung dient dem Ziel, verunreinigtes Wasser verlustfrei auf dem Weg zur Behandlung zu führen und Einträge in den Untergrund zu vermeiden.</w:t>
      </w:r>
    </w:p>
    <w:p w14:paraId="1E78C654" w14:textId="21CC8DA0" w:rsidR="00E76E6E" w:rsidRPr="00E76E6E" w:rsidRDefault="00E76E6E" w:rsidP="005647CD">
      <w:pPr>
        <w:rPr>
          <w:rFonts w:ascii="Stone Sans II ITC Com Bk" w:hAnsi="Stone Sans II ITC Com Bk"/>
        </w:rPr>
      </w:pPr>
      <w:r w:rsidRPr="00E76E6E">
        <w:rPr>
          <w:rFonts w:ascii="Stone Sans II ITC Com Bk" w:hAnsi="Stone Sans II ITC Com Bk"/>
        </w:rPr>
        <w:t>Im Anwendungsfall Autobahn wird die Kombinierbarkeit von Linie und Punkt anschaulich. Die DrainBox Road fungiert als Baustein der Starkregenvorsorge, indem si</w:t>
      </w:r>
      <w:r w:rsidR="00732871">
        <w:rPr>
          <w:rFonts w:ascii="Stone Sans II ITC Com Bk" w:hAnsi="Stone Sans II ITC Com Bk"/>
        </w:rPr>
        <w:t>e Starkregen</w:t>
      </w:r>
      <w:r w:rsidR="001A2852">
        <w:rPr>
          <w:rFonts w:ascii="Stone Sans II ITC Com Bk" w:hAnsi="Stone Sans II ITC Com Bk"/>
        </w:rPr>
        <w:t>spitzen</w:t>
      </w:r>
      <w:r w:rsidRPr="00E76E6E">
        <w:rPr>
          <w:rFonts w:ascii="Stone Sans II ITC Com Bk" w:hAnsi="Stone Sans II ITC Com Bk"/>
        </w:rPr>
        <w:t xml:space="preserve"> effizient abführt. Ergänzend zeigt der Aqua Plus Aufsatz von ACO Passavant Detego ein besonders hohes Schluckvermögen für Fahrbahnentwässerung unter Hochlastbedingungen.</w:t>
      </w:r>
    </w:p>
    <w:p w14:paraId="554E19AA" w14:textId="27B1584A" w:rsidR="00E722E3" w:rsidRDefault="00E76E6E" w:rsidP="005647CD">
      <w:pPr>
        <w:rPr>
          <w:rFonts w:ascii="Stone Sans II ITC Com Bk" w:hAnsi="Stone Sans II ITC Com Bk"/>
        </w:rPr>
      </w:pPr>
      <w:r w:rsidRPr="00E76E6E">
        <w:rPr>
          <w:rFonts w:ascii="Stone Sans II ITC Com Bk" w:hAnsi="Stone Sans II ITC Com Bk"/>
        </w:rPr>
        <w:lastRenderedPageBreak/>
        <w:t xml:space="preserve">Die Gesamtschau ordnet sich in den ACO WaterCycle ein. Aufnahme, Ableitung und die Übergabe zur Behandlung sind aufeinander abgestimmt, sodass Planenden, </w:t>
      </w:r>
      <w:r w:rsidR="001A2852">
        <w:rPr>
          <w:rFonts w:ascii="Stone Sans II ITC Com Bk" w:hAnsi="Stone Sans II ITC Com Bk"/>
        </w:rPr>
        <w:t xml:space="preserve">Kommunen und </w:t>
      </w:r>
      <w:r w:rsidRPr="00E76E6E">
        <w:rPr>
          <w:rFonts w:ascii="Stone Sans II ITC Com Bk" w:hAnsi="Stone Sans II ITC Com Bk"/>
        </w:rPr>
        <w:t>Bauausführenden durchgängige, material- und belastungsangepasste Lösungen zur Verfügung stehen. Damit wird deutlich, wie Infrastructure by ACO den Schutz von Verkehrsflächen und Bauwerken mit der Zielsetzung eines sauberen Wasserpfads verbindet.</w:t>
      </w:r>
    </w:p>
    <w:p w14:paraId="3F39996F" w14:textId="744B1F99" w:rsidR="00E76E6E" w:rsidRDefault="00EA488F" w:rsidP="005647CD">
      <w:pPr>
        <w:rPr>
          <w:rFonts w:ascii="Stone Sans II ITC Com Bk" w:hAnsi="Stone Sans II ITC Com Bk"/>
        </w:rPr>
      </w:pPr>
      <w:r>
        <w:rPr>
          <w:rFonts w:ascii="Stone Sans II ITC Com Bk" w:hAnsi="Stone Sans II ITC Com Bk"/>
        </w:rPr>
        <w:t xml:space="preserve">Weitere Informationen: </w:t>
      </w:r>
      <w:hyperlink r:id="rId11" w:history="1">
        <w:r w:rsidRPr="00682C99">
          <w:rPr>
            <w:rStyle w:val="Hyperlink"/>
            <w:rFonts w:ascii="Stone Sans II ITC Com Bk" w:hAnsi="Stone Sans II ITC Com Bk"/>
          </w:rPr>
          <w:t>www.aco.de</w:t>
        </w:r>
      </w:hyperlink>
    </w:p>
    <w:p w14:paraId="0E8FFB5D" w14:textId="77777777" w:rsidR="00EA488F" w:rsidRDefault="00EA488F" w:rsidP="005647CD">
      <w:pPr>
        <w:rPr>
          <w:rFonts w:ascii="Stone Sans II ITC Com Bk" w:hAnsi="Stone Sans II ITC Com Bk"/>
        </w:rPr>
      </w:pPr>
    </w:p>
    <w:p w14:paraId="2446BAD9" w14:textId="274D2673" w:rsidR="00EA488F" w:rsidRDefault="00EA488F" w:rsidP="005647CD">
      <w:pPr>
        <w:rPr>
          <w:rFonts w:ascii="Stone Sans II ITC Com Bk" w:hAnsi="Stone Sans II ITC Com Bk"/>
        </w:rPr>
      </w:pPr>
      <w:r>
        <w:rPr>
          <w:rFonts w:ascii="Stone Sans II ITC Com Bk" w:hAnsi="Stone Sans II ITC Com Bk"/>
        </w:rPr>
        <w:t>Ca. 2.711 Zeichen</w:t>
      </w:r>
    </w:p>
    <w:p w14:paraId="23A7A93B" w14:textId="77777777" w:rsidR="00E76E6E" w:rsidRDefault="00E76E6E" w:rsidP="00DA469A">
      <w:pPr>
        <w:rPr>
          <w:rFonts w:ascii="Stone Sans II ITC Com Bk" w:hAnsi="Stone Sans II ITC Com Bk"/>
        </w:rPr>
      </w:pPr>
    </w:p>
    <w:p w14:paraId="3AC7FAD9" w14:textId="1FBFFF08" w:rsidR="00BB0C59" w:rsidRDefault="00DB71FB" w:rsidP="00DA469A">
      <w:pPr>
        <w:rPr>
          <w:rFonts w:ascii="Stone Sans II ITC Com Bk" w:hAnsi="Stone Sans II ITC Com Bk"/>
        </w:rPr>
      </w:pPr>
      <w:r>
        <w:rPr>
          <w:rFonts w:ascii="Stone Sans II ITC Com Bk" w:hAnsi="Stone Sans II ITC Com Bk"/>
        </w:rPr>
        <w:t>Bildmaterial – Quelle ACO:</w:t>
      </w:r>
    </w:p>
    <w:p w14:paraId="51B7C402" w14:textId="77777777" w:rsidR="003A2C9D" w:rsidRDefault="003A2C9D" w:rsidP="00DA469A">
      <w:pPr>
        <w:rPr>
          <w:rFonts w:ascii="Stone Sans II ITC Com Bk" w:hAnsi="Stone Sans II ITC Com Bk"/>
        </w:rPr>
      </w:pPr>
    </w:p>
    <w:p w14:paraId="5754B72D" w14:textId="38F014C4" w:rsidR="00885F08" w:rsidRPr="00123B7B" w:rsidRDefault="00885F08" w:rsidP="00DA469A">
      <w:pPr>
        <w:rPr>
          <w:rFonts w:ascii="Stone Sans II ITC Com Bk" w:hAnsi="Stone Sans II ITC Com Bk"/>
          <w:b/>
          <w:bCs/>
        </w:rPr>
      </w:pPr>
      <w:r w:rsidRPr="00123B7B">
        <w:rPr>
          <w:rFonts w:ascii="Stone Sans II ITC Com Bk" w:hAnsi="Stone Sans II ITC Com Bk"/>
          <w:b/>
          <w:bCs/>
        </w:rPr>
        <w:t xml:space="preserve">Produkte von ACO Passavant Detego – </w:t>
      </w:r>
      <w:hyperlink r:id="rId12" w:history="1">
        <w:r w:rsidRPr="00123B7B">
          <w:rPr>
            <w:rStyle w:val="Hyperlink"/>
            <w:rFonts w:ascii="Stone Sans II ITC Com Bk" w:hAnsi="Stone Sans II ITC Com Bk"/>
            <w:b/>
            <w:bCs/>
          </w:rPr>
          <w:t>www.aco-detego.de</w:t>
        </w:r>
      </w:hyperlink>
      <w:r w:rsidRPr="00123B7B">
        <w:rPr>
          <w:rFonts w:ascii="Stone Sans II ITC Com Bk" w:hAnsi="Stone Sans II ITC Com Bk"/>
          <w:b/>
          <w:bCs/>
        </w:rPr>
        <w:t xml:space="preserve"> </w:t>
      </w:r>
    </w:p>
    <w:p w14:paraId="73E07A77" w14:textId="0DF19850" w:rsidR="003A2C9D" w:rsidRDefault="003A2C9D" w:rsidP="00DA469A">
      <w:pPr>
        <w:rPr>
          <w:rFonts w:ascii="Stone Sans II ITC Com Bk" w:hAnsi="Stone Sans II ITC Com Bk"/>
        </w:rPr>
      </w:pPr>
      <w:r w:rsidRPr="003A2C9D">
        <w:rPr>
          <w:rFonts w:ascii="Stone Sans II ITC Com Bk" w:hAnsi="Stone Sans II ITC Com Bk"/>
          <w:noProof/>
        </w:rPr>
        <w:drawing>
          <wp:inline distT="0" distB="0" distL="0" distR="0" wp14:anchorId="4D21B304" wp14:editId="34F5F0E4">
            <wp:extent cx="2511188" cy="1939819"/>
            <wp:effectExtent l="0" t="0" r="3810" b="3810"/>
            <wp:docPr id="8049759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3233" cy="1949124"/>
                    </a:xfrm>
                    <a:prstGeom prst="rect">
                      <a:avLst/>
                    </a:prstGeom>
                    <a:noFill/>
                    <a:ln>
                      <a:noFill/>
                    </a:ln>
                  </pic:spPr>
                </pic:pic>
              </a:graphicData>
            </a:graphic>
          </wp:inline>
        </w:drawing>
      </w:r>
    </w:p>
    <w:p w14:paraId="2A05D95C" w14:textId="18E8D632" w:rsidR="003A2C9D" w:rsidRDefault="00170094" w:rsidP="00DA469A">
      <w:pPr>
        <w:rPr>
          <w:rFonts w:ascii="Stone Sans II ITC Com Bk" w:hAnsi="Stone Sans II ITC Com Bk"/>
        </w:rPr>
      </w:pPr>
      <w:r>
        <w:rPr>
          <w:rFonts w:ascii="Stone Sans II ITC Com Bk" w:hAnsi="Stone Sans II ITC Com Bk"/>
        </w:rPr>
        <w:t xml:space="preserve">ACO </w:t>
      </w:r>
      <w:r w:rsidR="003A2C9D">
        <w:rPr>
          <w:rFonts w:ascii="Stone Sans II ITC Com Bk" w:hAnsi="Stone Sans II ITC Com Bk"/>
        </w:rPr>
        <w:t>Schachtabdeckung Multitop mit Design-Wappendeckel</w:t>
      </w:r>
    </w:p>
    <w:p w14:paraId="7041322C" w14:textId="77777777" w:rsidR="0099668E" w:rsidRDefault="0099668E" w:rsidP="00DA469A">
      <w:pPr>
        <w:rPr>
          <w:rFonts w:ascii="Stone Sans II ITC Com Bk" w:hAnsi="Stone Sans II ITC Com Bk"/>
        </w:rPr>
      </w:pPr>
    </w:p>
    <w:p w14:paraId="11984BAB" w14:textId="06C95E4F" w:rsidR="00885F08" w:rsidRDefault="00100AC0" w:rsidP="00DA469A">
      <w:pPr>
        <w:rPr>
          <w:rFonts w:ascii="Stone Sans II ITC Com Bk" w:hAnsi="Stone Sans II ITC Com Bk"/>
        </w:rPr>
      </w:pPr>
      <w:r w:rsidRPr="00100AC0">
        <w:rPr>
          <w:rFonts w:ascii="Stone Sans II ITC Com Bk" w:hAnsi="Stone Sans II ITC Com Bk"/>
          <w:noProof/>
        </w:rPr>
        <w:drawing>
          <wp:inline distT="0" distB="0" distL="0" distR="0" wp14:anchorId="75A3A4E8" wp14:editId="3010C461">
            <wp:extent cx="3090985" cy="2286000"/>
            <wp:effectExtent l="0" t="0" r="0" b="0"/>
            <wp:docPr id="1038364233"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7307" cy="2290675"/>
                    </a:xfrm>
                    <a:prstGeom prst="rect">
                      <a:avLst/>
                    </a:prstGeom>
                    <a:noFill/>
                    <a:ln>
                      <a:noFill/>
                    </a:ln>
                  </pic:spPr>
                </pic:pic>
              </a:graphicData>
            </a:graphic>
          </wp:inline>
        </w:drawing>
      </w:r>
    </w:p>
    <w:p w14:paraId="5C8D4337" w14:textId="4CC281CD" w:rsidR="00100AC0" w:rsidRDefault="00100AC0" w:rsidP="00DA469A">
      <w:pPr>
        <w:rPr>
          <w:rFonts w:ascii="Stone Sans II ITC Com Bk" w:hAnsi="Stone Sans II ITC Com Bk"/>
        </w:rPr>
      </w:pPr>
      <w:r>
        <w:rPr>
          <w:rFonts w:ascii="Stone Sans II ITC Com Bk" w:hAnsi="Stone Sans II ITC Com Bk"/>
        </w:rPr>
        <w:t>Autobahn Aufsatz Avus mit extra großem Schluckvermögen</w:t>
      </w:r>
    </w:p>
    <w:p w14:paraId="0C98F83E" w14:textId="77777777" w:rsidR="00100AC0" w:rsidRDefault="00100AC0" w:rsidP="00DA469A">
      <w:pPr>
        <w:rPr>
          <w:rFonts w:ascii="Stone Sans II ITC Com Bk" w:hAnsi="Stone Sans II ITC Com Bk"/>
        </w:rPr>
      </w:pPr>
    </w:p>
    <w:p w14:paraId="4C8FDE09" w14:textId="60217C1C" w:rsidR="00885F08" w:rsidRPr="00123B7B" w:rsidRDefault="00885F08" w:rsidP="00885F08">
      <w:pPr>
        <w:rPr>
          <w:rFonts w:ascii="Stone Sans II ITC Com Bk" w:hAnsi="Stone Sans II ITC Com Bk"/>
          <w:b/>
          <w:bCs/>
        </w:rPr>
      </w:pPr>
      <w:r w:rsidRPr="00123B7B">
        <w:rPr>
          <w:rFonts w:ascii="Stone Sans II ITC Com Bk" w:hAnsi="Stone Sans II ITC Com Bk"/>
          <w:b/>
          <w:bCs/>
        </w:rPr>
        <w:lastRenderedPageBreak/>
        <w:t xml:space="preserve">Produkte von der ACO GmbH – </w:t>
      </w:r>
      <w:hyperlink r:id="rId15" w:history="1">
        <w:r w:rsidRPr="00123B7B">
          <w:rPr>
            <w:rStyle w:val="Hyperlink"/>
            <w:rFonts w:ascii="Stone Sans II ITC Com Bk" w:hAnsi="Stone Sans II ITC Com Bk"/>
            <w:b/>
            <w:bCs/>
          </w:rPr>
          <w:t>www.aco.de</w:t>
        </w:r>
      </w:hyperlink>
      <w:r w:rsidRPr="00123B7B">
        <w:rPr>
          <w:rFonts w:ascii="Stone Sans II ITC Com Bk" w:hAnsi="Stone Sans II ITC Com Bk"/>
          <w:b/>
          <w:bCs/>
        </w:rPr>
        <w:t xml:space="preserve"> </w:t>
      </w:r>
    </w:p>
    <w:p w14:paraId="0B7CF025" w14:textId="77777777" w:rsidR="0099668E" w:rsidRDefault="0099668E" w:rsidP="00DA469A">
      <w:pPr>
        <w:rPr>
          <w:rFonts w:ascii="Stone Sans II ITC Com Bk" w:hAnsi="Stone Sans II ITC Com Bk"/>
        </w:rPr>
      </w:pPr>
    </w:p>
    <w:p w14:paraId="7B2CDDEF" w14:textId="05A9A66D" w:rsidR="0099668E" w:rsidRDefault="00B81A62" w:rsidP="00DA469A">
      <w:pPr>
        <w:rPr>
          <w:rFonts w:ascii="Stone Sans II ITC Com Bk" w:hAnsi="Stone Sans II ITC Com Bk"/>
        </w:rPr>
      </w:pPr>
      <w:r w:rsidRPr="00B81A62">
        <w:rPr>
          <w:rFonts w:ascii="Stone Sans II ITC Com Bk" w:hAnsi="Stone Sans II ITC Com Bk"/>
          <w:noProof/>
        </w:rPr>
        <w:drawing>
          <wp:inline distT="0" distB="0" distL="0" distR="0" wp14:anchorId="6C007803" wp14:editId="4FE43051">
            <wp:extent cx="2630226" cy="1849272"/>
            <wp:effectExtent l="0" t="0" r="0" b="0"/>
            <wp:docPr id="176379323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0677" cy="1856620"/>
                    </a:xfrm>
                    <a:prstGeom prst="rect">
                      <a:avLst/>
                    </a:prstGeom>
                    <a:noFill/>
                    <a:ln>
                      <a:noFill/>
                    </a:ln>
                  </pic:spPr>
                </pic:pic>
              </a:graphicData>
            </a:graphic>
          </wp:inline>
        </w:drawing>
      </w:r>
    </w:p>
    <w:p w14:paraId="2C102755" w14:textId="5FD97B64" w:rsidR="00B81A62" w:rsidRDefault="00B81A62" w:rsidP="00DA469A">
      <w:pPr>
        <w:rPr>
          <w:rFonts w:ascii="Stone Sans II ITC Com Bk" w:hAnsi="Stone Sans II ITC Com Bk"/>
        </w:rPr>
      </w:pPr>
      <w:r>
        <w:rPr>
          <w:rFonts w:ascii="Stone Sans II ITC Com Bk" w:hAnsi="Stone Sans II ITC Com Bk"/>
        </w:rPr>
        <w:t xml:space="preserve">Die Hohlbordrinne ACO KerbDrain Bridge </w:t>
      </w:r>
      <w:r w:rsidR="00885F08">
        <w:rPr>
          <w:rFonts w:ascii="Stone Sans II ITC Com Bk" w:hAnsi="Stone Sans II ITC Com Bk"/>
        </w:rPr>
        <w:t>zur</w:t>
      </w:r>
      <w:r w:rsidR="004C143A">
        <w:rPr>
          <w:rFonts w:ascii="Stone Sans II ITC Com Bk" w:hAnsi="Stone Sans II ITC Com Bk"/>
        </w:rPr>
        <w:t xml:space="preserve"> linearen</w:t>
      </w:r>
      <w:r w:rsidR="00885F08">
        <w:rPr>
          <w:rFonts w:ascii="Stone Sans II ITC Com Bk" w:hAnsi="Stone Sans II ITC Com Bk"/>
        </w:rPr>
        <w:t xml:space="preserve"> Brückenentwässerung</w:t>
      </w:r>
    </w:p>
    <w:p w14:paraId="740CC078" w14:textId="77777777" w:rsidR="00896A2A" w:rsidRDefault="00896A2A" w:rsidP="00DA469A">
      <w:pPr>
        <w:rPr>
          <w:rFonts w:ascii="Stone Sans II ITC Com Bk" w:hAnsi="Stone Sans II ITC Com Bk"/>
        </w:rPr>
      </w:pPr>
    </w:p>
    <w:p w14:paraId="14953B51" w14:textId="37072DA7" w:rsidR="009E2F34" w:rsidRDefault="00D95F35" w:rsidP="00DA469A">
      <w:pPr>
        <w:rPr>
          <w:rFonts w:ascii="Stone Sans II ITC Com Bk" w:hAnsi="Stone Sans II ITC Com Bk"/>
        </w:rPr>
      </w:pPr>
      <w:r w:rsidRPr="00D95F35">
        <w:rPr>
          <w:rFonts w:ascii="Stone Sans II ITC Com Bk" w:hAnsi="Stone Sans II ITC Com Bk"/>
          <w:noProof/>
        </w:rPr>
        <w:drawing>
          <wp:inline distT="0" distB="0" distL="0" distR="0" wp14:anchorId="4A8BAE65" wp14:editId="6091F31B">
            <wp:extent cx="4482935" cy="1756706"/>
            <wp:effectExtent l="0" t="0" r="0" b="0"/>
            <wp:docPr id="9522348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93782" cy="1760957"/>
                    </a:xfrm>
                    <a:prstGeom prst="rect">
                      <a:avLst/>
                    </a:prstGeom>
                    <a:noFill/>
                    <a:ln>
                      <a:noFill/>
                    </a:ln>
                  </pic:spPr>
                </pic:pic>
              </a:graphicData>
            </a:graphic>
          </wp:inline>
        </w:drawing>
      </w:r>
    </w:p>
    <w:p w14:paraId="535F614D" w14:textId="66409CDE" w:rsidR="00D95F35" w:rsidRPr="009431DF" w:rsidRDefault="00D95F35" w:rsidP="00DA469A">
      <w:pPr>
        <w:rPr>
          <w:rFonts w:ascii="Stone Sans II ITC Com Bk" w:hAnsi="Stone Sans II ITC Com Bk"/>
        </w:rPr>
      </w:pPr>
      <w:r w:rsidRPr="009431DF">
        <w:rPr>
          <w:rFonts w:ascii="Stone Sans II ITC Com Bk" w:hAnsi="Stone Sans II ITC Com Bk"/>
        </w:rPr>
        <w:t xml:space="preserve">ACO </w:t>
      </w:r>
      <w:r w:rsidR="009431DF" w:rsidRPr="009431DF">
        <w:rPr>
          <w:rFonts w:ascii="Stone Sans II ITC Com Bk" w:hAnsi="Stone Sans II ITC Com Bk"/>
        </w:rPr>
        <w:t>Drain®Box Road</w:t>
      </w:r>
      <w:r w:rsidR="009431DF" w:rsidRPr="009431DF">
        <w:rPr>
          <w:rFonts w:ascii="Stone Sans II ITC Com Bk" w:hAnsi="Stone Sans II ITC Com Bk"/>
        </w:rPr>
        <w:t xml:space="preserve"> zur Stark</w:t>
      </w:r>
      <w:r w:rsidR="009431DF">
        <w:rPr>
          <w:rFonts w:ascii="Stone Sans II ITC Com Bk" w:hAnsi="Stone Sans II ITC Com Bk"/>
        </w:rPr>
        <w:t>regenvorsorge auf Autobahnen und Fernstraßen</w:t>
      </w:r>
    </w:p>
    <w:p w14:paraId="5CF89D6C" w14:textId="20DCDD00" w:rsidR="008E6BC8" w:rsidRPr="009431DF" w:rsidRDefault="008E6BC8">
      <w:pPr>
        <w:rPr>
          <w:rFonts w:ascii="Stone Sans II ITC Com Bk" w:hAnsi="Stone Sans II ITC Com Bk"/>
          <w:b/>
          <w:bCs/>
        </w:rPr>
      </w:pPr>
    </w:p>
    <w:p w14:paraId="2C0AA981" w14:textId="370BDBB6" w:rsidR="001F5D89" w:rsidRPr="00123B7B" w:rsidRDefault="001F5D89" w:rsidP="00DA469A">
      <w:pPr>
        <w:rPr>
          <w:rFonts w:ascii="Stone Sans II ITC Com Bk" w:hAnsi="Stone Sans II ITC Com Bk"/>
          <w:b/>
          <w:bCs/>
        </w:rPr>
      </w:pPr>
      <w:r w:rsidRPr="00123B7B">
        <w:rPr>
          <w:rFonts w:ascii="Stone Sans II ITC Com Bk" w:hAnsi="Stone Sans II ITC Com Bk"/>
          <w:b/>
          <w:bCs/>
        </w:rPr>
        <w:t xml:space="preserve">Produkte von ACO Pfuhler – </w:t>
      </w:r>
      <w:hyperlink r:id="rId18" w:history="1">
        <w:r w:rsidRPr="00123B7B">
          <w:rPr>
            <w:rStyle w:val="Hyperlink"/>
            <w:rFonts w:ascii="Stone Sans II ITC Com Bk" w:hAnsi="Stone Sans II ITC Com Bk"/>
            <w:b/>
            <w:bCs/>
          </w:rPr>
          <w:t>www.aco-pfuhler.de</w:t>
        </w:r>
      </w:hyperlink>
    </w:p>
    <w:p w14:paraId="5CA281F6" w14:textId="2B5DE6DB" w:rsidR="00963C04" w:rsidRPr="00963C04" w:rsidRDefault="00963C04" w:rsidP="00963C04">
      <w:pPr>
        <w:rPr>
          <w:rFonts w:ascii="Stone Sans II ITC Com Bk" w:hAnsi="Stone Sans II ITC Com Bk"/>
        </w:rPr>
      </w:pPr>
      <w:r w:rsidRPr="00963C04">
        <w:rPr>
          <w:rFonts w:ascii="Stone Sans II ITC Com Bk" w:hAnsi="Stone Sans II ITC Com Bk"/>
          <w:noProof/>
        </w:rPr>
        <mc:AlternateContent>
          <mc:Choice Requires="wps">
            <w:drawing>
              <wp:inline distT="0" distB="0" distL="0" distR="0" wp14:anchorId="2D1D6B1A" wp14:editId="11B0168D">
                <wp:extent cx="304800" cy="304800"/>
                <wp:effectExtent l="0" t="0" r="0" b="0"/>
                <wp:docPr id="1556750582" name="Rechteck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7F9681" id="Rechteck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A031DC2" w14:textId="237DE3FE" w:rsidR="001F5D89" w:rsidRDefault="00963C04" w:rsidP="00DA469A">
      <w:pPr>
        <w:rPr>
          <w:rFonts w:ascii="Stone Sans II ITC Com Bk" w:hAnsi="Stone Sans II ITC Com Bk"/>
        </w:rPr>
      </w:pPr>
      <w:r>
        <w:rPr>
          <w:rFonts w:ascii="Stone Sans II ITC Com Bk" w:hAnsi="Stone Sans II ITC Com Bk"/>
          <w:noProof/>
        </w:rPr>
        <w:drawing>
          <wp:inline distT="0" distB="0" distL="0" distR="0" wp14:anchorId="2FA05354" wp14:editId="08F80948">
            <wp:extent cx="4659465" cy="2159214"/>
            <wp:effectExtent l="0" t="0" r="0" b="0"/>
            <wp:docPr id="749249826" name="Grafik 5" descr="Ein Bild, das Lautsprecher, Subwoof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249826" name="Grafik 5" descr="Ein Bild, das Lautsprecher, Subwoofer enthält.&#10;&#10;KI-generierte Inhalte können fehlerhaft sei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73622" cy="2165775"/>
                    </a:xfrm>
                    <a:prstGeom prst="rect">
                      <a:avLst/>
                    </a:prstGeom>
                  </pic:spPr>
                </pic:pic>
              </a:graphicData>
            </a:graphic>
          </wp:inline>
        </w:drawing>
      </w:r>
    </w:p>
    <w:p w14:paraId="6A44B5D1" w14:textId="1A83FED0" w:rsidR="001F5D89" w:rsidRDefault="001F5D89" w:rsidP="00DA469A">
      <w:pPr>
        <w:rPr>
          <w:rFonts w:ascii="Stone Sans II ITC Com Bk" w:hAnsi="Stone Sans II ITC Com Bk"/>
        </w:rPr>
      </w:pPr>
      <w:r>
        <w:rPr>
          <w:rFonts w:ascii="Stone Sans II ITC Com Bk" w:hAnsi="Stone Sans II ITC Com Bk"/>
        </w:rPr>
        <w:t>Monolithische Stahlbetonschlitzrinnen</w:t>
      </w:r>
      <w:r w:rsidR="00A3599B">
        <w:rPr>
          <w:rFonts w:ascii="Stone Sans II ITC Com Bk" w:hAnsi="Stone Sans II ITC Com Bk"/>
        </w:rPr>
        <w:t xml:space="preserve"> von ACO Pfuhler</w:t>
      </w:r>
      <w:r>
        <w:rPr>
          <w:rFonts w:ascii="Stone Sans II ITC Com Bk" w:hAnsi="Stone Sans II ITC Com Bk"/>
        </w:rPr>
        <w:t xml:space="preserve"> für Anwendung</w:t>
      </w:r>
      <w:r w:rsidR="00A3599B">
        <w:rPr>
          <w:rFonts w:ascii="Stone Sans II ITC Com Bk" w:hAnsi="Stone Sans II ITC Com Bk"/>
        </w:rPr>
        <w:t>en</w:t>
      </w:r>
      <w:r>
        <w:rPr>
          <w:rFonts w:ascii="Stone Sans II ITC Com Bk" w:hAnsi="Stone Sans II ITC Com Bk"/>
        </w:rPr>
        <w:t xml:space="preserve"> im City- und Schwerlastbereich </w:t>
      </w:r>
    </w:p>
    <w:p w14:paraId="0AC80CAE" w14:textId="77777777" w:rsidR="00885F08" w:rsidRDefault="00885F08" w:rsidP="00DA469A">
      <w:pPr>
        <w:rPr>
          <w:rFonts w:ascii="Stone Sans II ITC Com Bk" w:hAnsi="Stone Sans II ITC Com Bk"/>
        </w:rPr>
      </w:pPr>
    </w:p>
    <w:p w14:paraId="3CCEA7E7" w14:textId="60106FA3" w:rsidR="00DB71FB" w:rsidRDefault="00DB71FB" w:rsidP="00DA469A">
      <w:pPr>
        <w:rPr>
          <w:rFonts w:ascii="Stone Sans II ITC Com Bk" w:hAnsi="Stone Sans II ITC Com Bk"/>
        </w:rPr>
      </w:pPr>
    </w:p>
    <w:p w14:paraId="4CDD49EC" w14:textId="77777777" w:rsidR="004D0869" w:rsidRDefault="004D0869" w:rsidP="004D0869">
      <w:pPr>
        <w:rPr>
          <w:rFonts w:ascii="Stone Sans II ITC Com Bk" w:hAnsi="Stone Sans II ITC Com Bk"/>
        </w:rPr>
      </w:pPr>
    </w:p>
    <w:tbl>
      <w:tblPr>
        <w:tblStyle w:val="Tabellenraster"/>
        <w:tblW w:w="0" w:type="auto"/>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none" w:sz="0" w:space="0" w:color="auto"/>
          <w:insideV w:val="none" w:sz="0" w:space="0" w:color="auto"/>
        </w:tblBorders>
        <w:tblLook w:val="04A0" w:firstRow="1" w:lastRow="0" w:firstColumn="1" w:lastColumn="0" w:noHBand="0" w:noVBand="1"/>
      </w:tblPr>
      <w:tblGrid>
        <w:gridCol w:w="9062"/>
      </w:tblGrid>
      <w:tr w:rsidR="004D0869" w14:paraId="47BB0447" w14:textId="77777777" w:rsidTr="004D0869">
        <w:tc>
          <w:tcPr>
            <w:tcW w:w="9062" w:type="dxa"/>
          </w:tcPr>
          <w:p w14:paraId="2C6E975F" w14:textId="40FF6CEF" w:rsidR="004D0869" w:rsidRDefault="004D0869" w:rsidP="004D0869">
            <w:pPr>
              <w:rPr>
                <w:rFonts w:ascii="Stone Sans II ITC Com Lt" w:hAnsi="Stone Sans II ITC Com Lt"/>
                <w:iCs/>
                <w:sz w:val="20"/>
                <w:szCs w:val="20"/>
              </w:rPr>
            </w:pPr>
            <w:r w:rsidRPr="00BD54FA">
              <w:rPr>
                <w:rFonts w:ascii="Stone Sans II ITC Com Lt" w:hAnsi="Stone Sans II ITC Com Lt"/>
                <w:b/>
                <w:bCs/>
                <w:iCs/>
                <w:sz w:val="20"/>
                <w:szCs w:val="20"/>
              </w:rPr>
              <w:t>Die ACO GmbH</w:t>
            </w:r>
            <w:r>
              <w:rPr>
                <w:rFonts w:ascii="Stone Sans II ITC Com Lt" w:hAnsi="Stone Sans II ITC Com Lt"/>
                <w:iCs/>
                <w:sz w:val="20"/>
                <w:szCs w:val="20"/>
              </w:rPr>
              <w:br/>
            </w:r>
            <w:r w:rsidRPr="00472784">
              <w:rPr>
                <w:rFonts w:ascii="Stone Sans II ITC Com Lt" w:hAnsi="Stone Sans II ITC Com Lt"/>
                <w:iCs/>
                <w:sz w:val="20"/>
                <w:szCs w:val="20"/>
              </w:rPr>
              <w:t>Als Teil der weltweiten ACO Gruppe gehört die ACO GmbH zu den führenden Anbietern ganzheitlicher Systemlösungen rund um die klimaresiliente Freiraum-, Infrastruktur- und Gebäudeplanung. Der nachhaltige Umgang mit der wertvollen Ressource Wasser, verdeutlicht durch den Claim „ACO. we care for water“, steht im Mittelpunkt aller Unternehmensaktivitäten. Mit dem ACO WaterCycle bietet das Unternehmen ein breites Spektrum an Systemlösungen, um Oberflächenwasser oder Abwasser zu sammeln, aufzubereiten, zurückzuhalten und wieder zur Verfügung zu stellen. Darüber hinaus berät und unterstützt ein starkes Außen- und Innendienstteam alle Objektbeteiligten in jeder Projektphase.</w:t>
            </w:r>
          </w:p>
          <w:p w14:paraId="65534CED" w14:textId="0E545634" w:rsidR="004D0869" w:rsidRPr="004D0869" w:rsidRDefault="004D0869" w:rsidP="004D0869">
            <w:pPr>
              <w:rPr>
                <w:rFonts w:ascii="Stone Sans II ITC Com Lt" w:hAnsi="Stone Sans II ITC Com Lt"/>
                <w:iCs/>
                <w:sz w:val="20"/>
                <w:szCs w:val="20"/>
              </w:rPr>
            </w:pPr>
          </w:p>
        </w:tc>
      </w:tr>
    </w:tbl>
    <w:p w14:paraId="53D300CE" w14:textId="77777777" w:rsidR="004D0869" w:rsidRDefault="004D0869" w:rsidP="004D0869">
      <w:pPr>
        <w:rPr>
          <w:rFonts w:ascii="Stone Sans II ITC Com Bk" w:hAnsi="Stone Sans II ITC Com Bk"/>
        </w:rPr>
      </w:pPr>
    </w:p>
    <w:p w14:paraId="03CED72B" w14:textId="77777777" w:rsidR="004D0869" w:rsidRDefault="004D0869" w:rsidP="004D0869">
      <w:pPr>
        <w:spacing w:after="0"/>
        <w:textAlignment w:val="baseline"/>
        <w:rPr>
          <w:rFonts w:ascii="Stone Sans II ITC Com Lt" w:eastAsia="Times New Roman" w:hAnsi="Stone Sans II ITC Com Lt" w:cs="Arial"/>
          <w:sz w:val="20"/>
          <w:szCs w:val="24"/>
          <w:lang w:eastAsia="de-DE"/>
        </w:rPr>
      </w:pPr>
      <w:r>
        <w:rPr>
          <w:rFonts w:ascii="Stone Sans II ITC Com Lt" w:eastAsia="Times New Roman" w:hAnsi="Stone Sans II ITC Com Lt" w:cs="Arial"/>
          <w:sz w:val="20"/>
          <w:szCs w:val="24"/>
          <w:lang w:eastAsia="de-DE"/>
        </w:rPr>
        <w:t>Pressekontakt</w:t>
      </w:r>
      <w:r w:rsidRPr="000B433D">
        <w:rPr>
          <w:rFonts w:ascii="Stone Sans II ITC Com Lt" w:eastAsia="Times New Roman" w:hAnsi="Stone Sans II ITC Com Lt" w:cs="Arial"/>
          <w:sz w:val="20"/>
          <w:szCs w:val="24"/>
          <w:lang w:eastAsia="de-DE"/>
        </w:rPr>
        <w:t>:</w:t>
      </w:r>
    </w:p>
    <w:p w14:paraId="312144BE" w14:textId="77777777" w:rsidR="004D0869" w:rsidRPr="000B433D" w:rsidRDefault="004D0869" w:rsidP="004D0869">
      <w:pPr>
        <w:spacing w:after="0"/>
        <w:textAlignment w:val="baseline"/>
        <w:rPr>
          <w:rFonts w:ascii="Stone Sans II ITC Com Lt" w:eastAsia="Times New Roman" w:hAnsi="Stone Sans II ITC Com Lt" w:cs="Arial"/>
          <w:sz w:val="20"/>
          <w:szCs w:val="24"/>
          <w:lang w:eastAsia="de-DE"/>
        </w:rPr>
      </w:pPr>
      <w:r>
        <w:rPr>
          <w:rFonts w:ascii="Stone Sans II ITC Com Lt" w:eastAsia="Times New Roman" w:hAnsi="Stone Sans II ITC Com Lt" w:cs="Arial"/>
          <w:sz w:val="20"/>
          <w:szCs w:val="24"/>
          <w:lang w:eastAsia="de-DE"/>
        </w:rPr>
        <w:t>ACO GmbH</w:t>
      </w:r>
    </w:p>
    <w:p w14:paraId="645708BC" w14:textId="77777777" w:rsidR="004D0869" w:rsidRPr="00CB1D67" w:rsidRDefault="004D0869" w:rsidP="004D0869">
      <w:pPr>
        <w:rPr>
          <w:rStyle w:val="Hyperlink"/>
          <w:rFonts w:ascii="Stone Sans II ITC Com Lt" w:hAnsi="Stone Sans II ITC Com Lt" w:cs="Arial"/>
          <w:color w:val="000000" w:themeColor="text1"/>
          <w:sz w:val="20"/>
          <w:lang w:val="en-US"/>
        </w:rPr>
      </w:pPr>
      <w:r w:rsidRPr="00D9042E">
        <w:rPr>
          <w:rFonts w:ascii="Stone Sans II ITC Com Lt" w:hAnsi="Stone Sans II ITC Com Lt" w:cs="Arial"/>
          <w:b/>
          <w:bCs/>
          <w:color w:val="000000" w:themeColor="text1"/>
          <w:sz w:val="20"/>
          <w:lang w:val="en-US"/>
        </w:rPr>
        <w:t xml:space="preserve">Tanja Holst </w:t>
      </w:r>
      <w:r w:rsidRPr="00D9042E">
        <w:rPr>
          <w:rFonts w:ascii="Stone Sans II ITC Com Lt" w:hAnsi="Stone Sans II ITC Com Lt" w:cs="Arial"/>
          <w:b/>
          <w:bCs/>
          <w:color w:val="000000" w:themeColor="text1"/>
          <w:sz w:val="20"/>
          <w:lang w:val="en-US"/>
        </w:rPr>
        <w:br/>
      </w:r>
      <w:r>
        <w:rPr>
          <w:rFonts w:ascii="Stone Sans II ITC Com Lt" w:hAnsi="Stone Sans II ITC Com Lt" w:cs="Arial"/>
          <w:color w:val="000000" w:themeColor="text1"/>
          <w:sz w:val="20"/>
          <w:lang w:val="en-US"/>
        </w:rPr>
        <w:t>Public Relations - Fachpresse</w:t>
      </w:r>
      <w:r>
        <w:rPr>
          <w:rFonts w:ascii="Stone Sans II ITC Com Lt" w:hAnsi="Stone Sans II ITC Com Lt" w:cs="Arial"/>
          <w:color w:val="000000"/>
          <w:sz w:val="20"/>
          <w:shd w:val="clear" w:color="auto" w:fill="FFFFFF"/>
          <w:lang w:val="en-US"/>
        </w:rPr>
        <w:br/>
      </w:r>
      <w:r w:rsidRPr="006E02FD">
        <w:rPr>
          <w:rFonts w:ascii="Stone Sans II ITC Com Lt" w:hAnsi="Stone Sans II ITC Com Lt" w:cs="Arial"/>
          <w:color w:val="000000"/>
          <w:sz w:val="20"/>
          <w:shd w:val="clear" w:color="auto" w:fill="FFFFFF"/>
          <w:lang w:val="en-US"/>
        </w:rPr>
        <w:t>T</w:t>
      </w:r>
      <w:r w:rsidRPr="006E02FD">
        <w:rPr>
          <w:rFonts w:ascii="Stone Sans II ITC Com Lt" w:hAnsi="Stone Sans II ITC Com Lt" w:cs="Arial"/>
          <w:color w:val="000000" w:themeColor="text1"/>
          <w:sz w:val="20"/>
          <w:shd w:val="clear" w:color="auto" w:fill="FFFFFF"/>
          <w:lang w:val="en-US"/>
        </w:rPr>
        <w:t>el.: </w:t>
      </w:r>
      <w:hyperlink r:id="rId20" w:history="1">
        <w:r w:rsidRPr="006E02FD">
          <w:rPr>
            <w:rStyle w:val="Hyperlink"/>
            <w:rFonts w:ascii="Stone Sans II ITC Com Lt" w:hAnsi="Stone Sans II ITC Com Lt" w:cs="Arial"/>
            <w:color w:val="000000" w:themeColor="text1"/>
            <w:sz w:val="20"/>
            <w:shd w:val="clear" w:color="auto" w:fill="FFFFFF"/>
            <w:lang w:val="en-US"/>
          </w:rPr>
          <w:t xml:space="preserve">+49 4331 354 </w:t>
        </w:r>
      </w:hyperlink>
      <w:r w:rsidRPr="006E02FD">
        <w:rPr>
          <w:rStyle w:val="Hyperlink"/>
          <w:rFonts w:ascii="Stone Sans II ITC Com Lt" w:hAnsi="Stone Sans II ITC Com Lt" w:cs="Arial"/>
          <w:color w:val="000000" w:themeColor="text1"/>
          <w:sz w:val="20"/>
          <w:shd w:val="clear" w:color="auto" w:fill="FFFFFF"/>
          <w:lang w:val="en-US"/>
        </w:rPr>
        <w:t>197</w:t>
      </w:r>
      <w:r w:rsidRPr="006E02FD">
        <w:rPr>
          <w:rStyle w:val="Hyperlink"/>
          <w:rFonts w:ascii="Stone Sans II ITC Com Lt" w:hAnsi="Stone Sans II ITC Com Lt" w:cs="Arial"/>
          <w:color w:val="000000" w:themeColor="text1"/>
          <w:sz w:val="20"/>
          <w:shd w:val="clear" w:color="auto" w:fill="FFFFFF"/>
          <w:lang w:val="en-US"/>
        </w:rPr>
        <w:br/>
        <w:t>Mobil: +49 151 64738331</w:t>
      </w:r>
      <w:r w:rsidRPr="006E02FD">
        <w:rPr>
          <w:rFonts w:ascii="Stone Sans II ITC Com Lt" w:hAnsi="Stone Sans II ITC Com Lt" w:cs="Arial"/>
          <w:color w:val="000000"/>
          <w:sz w:val="17"/>
          <w:szCs w:val="17"/>
          <w:lang w:val="en-US" w:eastAsia="de-DE"/>
        </w:rPr>
        <w:t xml:space="preserve"> </w:t>
      </w:r>
      <w:r w:rsidRPr="006E02FD">
        <w:rPr>
          <w:rFonts w:ascii="Stone Sans II ITC Com Lt" w:hAnsi="Stone Sans II ITC Com Lt" w:cs="Arial"/>
          <w:color w:val="000000"/>
          <w:sz w:val="17"/>
          <w:szCs w:val="17"/>
          <w:lang w:val="en-US" w:eastAsia="de-DE"/>
        </w:rPr>
        <w:br/>
      </w:r>
      <w:r w:rsidRPr="006E02FD">
        <w:rPr>
          <w:rFonts w:ascii="Stone Sans II ITC Com Lt" w:hAnsi="Stone Sans II ITC Com Lt" w:cs="Arial"/>
          <w:color w:val="000000" w:themeColor="text1"/>
          <w:sz w:val="20"/>
          <w:shd w:val="clear" w:color="auto" w:fill="FFFFFF"/>
          <w:lang w:val="en-US"/>
        </w:rPr>
        <w:t>E-Mail: </w:t>
      </w:r>
      <w:hyperlink r:id="rId21" w:history="1">
        <w:r w:rsidRPr="006E02FD">
          <w:rPr>
            <w:rStyle w:val="Hyperlink"/>
            <w:rFonts w:ascii="Stone Sans II ITC Com Lt" w:hAnsi="Stone Sans II ITC Com Lt" w:cs="Arial"/>
            <w:sz w:val="20"/>
            <w:shd w:val="clear" w:color="auto" w:fill="FFFFFF"/>
            <w:lang w:val="en-US"/>
          </w:rPr>
          <w:t>tanja.holst@aco.com</w:t>
        </w:r>
      </w:hyperlink>
    </w:p>
    <w:p w14:paraId="454F0710" w14:textId="77777777" w:rsidR="004D0869" w:rsidRPr="004D0869" w:rsidRDefault="004D0869" w:rsidP="004D0869">
      <w:pPr>
        <w:rPr>
          <w:rFonts w:ascii="Stone Sans II ITC Com Bk" w:hAnsi="Stone Sans II ITC Com Bk"/>
        </w:rPr>
      </w:pPr>
    </w:p>
    <w:sectPr w:rsidR="004D0869" w:rsidRPr="004D0869">
      <w:footerReference w:type="default" r:id="rId2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2CBDFB" w14:textId="77777777" w:rsidR="00127640" w:rsidRDefault="00127640" w:rsidP="004D0869">
      <w:pPr>
        <w:spacing w:after="0" w:line="240" w:lineRule="auto"/>
      </w:pPr>
      <w:r>
        <w:separator/>
      </w:r>
    </w:p>
  </w:endnote>
  <w:endnote w:type="continuationSeparator" w:id="0">
    <w:p w14:paraId="0FA006EE" w14:textId="77777777" w:rsidR="00127640" w:rsidRDefault="00127640" w:rsidP="004D0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tone Sans II ITC Com Bk">
    <w:panose1 w:val="020B0502040503020204"/>
    <w:charset w:val="00"/>
    <w:family w:val="swiss"/>
    <w:pitch w:val="variable"/>
    <w:sig w:usb0="A00000AF" w:usb1="5000205B" w:usb2="00000000" w:usb3="00000000" w:csb0="0000009B"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wsGothic,Bold">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tone Sans II ITC Com Lt">
    <w:altName w:val="Stone Sans II ITC Com Lt"/>
    <w:panose1 w:val="020B0302040503020204"/>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Stone Sans II ITC Com Lt Cn">
    <w:panose1 w:val="020B0306040503020204"/>
    <w:charset w:val="00"/>
    <w:family w:val="swiss"/>
    <w:pitch w:val="variable"/>
    <w:sig w:usb0="A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493EE" w14:textId="5718188A" w:rsidR="004D0869" w:rsidRDefault="004D0869">
    <w:pPr>
      <w:pStyle w:val="Fuzeile"/>
    </w:pPr>
    <w:r>
      <w:rPr>
        <w:noProof/>
        <w:lang w:eastAsia="de-DE"/>
      </w:rPr>
      <w:drawing>
        <wp:anchor distT="0" distB="0" distL="114300" distR="114300" simplePos="0" relativeHeight="251667456" behindDoc="0" locked="0" layoutInCell="1" allowOverlap="1" wp14:anchorId="52723A34" wp14:editId="720E3FF4">
          <wp:simplePos x="0" y="0"/>
          <wp:positionH relativeFrom="column">
            <wp:posOffset>1510030</wp:posOffset>
          </wp:positionH>
          <wp:positionV relativeFrom="paragraph">
            <wp:posOffset>5715</wp:posOffset>
          </wp:positionV>
          <wp:extent cx="251460" cy="251460"/>
          <wp:effectExtent l="0" t="0" r="0" b="0"/>
          <wp:wrapNone/>
          <wp:docPr id="4" name="Grafik 4" descr="Ein Bild, das Symbol, Logo, Schrift, Grafiken enthält.&#10;&#10;Automatisch generierte Beschreibu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Symbol, Logo, Schrift, Grafiken enthält.&#10;&#10;Automatisch generierte Beschreibung">
                    <a:hlinkClick r:id="rId1"/>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3360" behindDoc="1" locked="0" layoutInCell="1" allowOverlap="1" wp14:anchorId="5F1FDB19" wp14:editId="1F0010F9">
          <wp:simplePos x="0" y="0"/>
          <wp:positionH relativeFrom="column">
            <wp:posOffset>757555</wp:posOffset>
          </wp:positionH>
          <wp:positionV relativeFrom="paragraph">
            <wp:posOffset>5716</wp:posOffset>
          </wp:positionV>
          <wp:extent cx="228915" cy="251460"/>
          <wp:effectExtent l="0" t="0" r="0" b="0"/>
          <wp:wrapNone/>
          <wp:docPr id="6" name="Grafik 6" descr="Ein Bild, das Logo, Text, Symbol, rot enthält.&#10;&#10;Automatisch generierte Beschreibu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Logo, Text, Symbol, rot enthält.&#10;&#10;Automatisch generierte Beschreibung">
                    <a:hlinkClick r:id="rId3"/>
                  </pic:cNvPr>
                  <pic:cNvPicPr/>
                </pic:nvPicPr>
                <pic:blipFill>
                  <a:blip r:embed="rId4" cstate="print">
                    <a:extLst>
                      <a:ext uri="{28A0092B-C50C-407E-A947-70E740481C1C}">
                        <a14:useLocalDpi xmlns:a14="http://schemas.microsoft.com/office/drawing/2010/main" val="0"/>
                      </a:ext>
                    </a:extLst>
                  </a:blip>
                  <a:stretch>
                    <a:fillRect/>
                  </a:stretch>
                </pic:blipFill>
                <pic:spPr>
                  <a:xfrm>
                    <a:off x="0" y="0"/>
                    <a:ext cx="232495" cy="255393"/>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5408" behindDoc="0" locked="0" layoutInCell="1" allowOverlap="1" wp14:anchorId="7609D443" wp14:editId="127081EF">
          <wp:simplePos x="0" y="0"/>
          <wp:positionH relativeFrom="column">
            <wp:posOffset>1148080</wp:posOffset>
          </wp:positionH>
          <wp:positionV relativeFrom="paragraph">
            <wp:posOffset>5715</wp:posOffset>
          </wp:positionV>
          <wp:extent cx="251460" cy="251460"/>
          <wp:effectExtent l="0" t="0" r="0" b="0"/>
          <wp:wrapNone/>
          <wp:docPr id="5" name="Grafik 5" descr="Ein Bild, das Symbol, rot, Grafiken, Kreis enthält.&#10;&#10;Automatisch generierte Beschreibu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Symbol, rot, Grafiken, Kreis enthält.&#10;&#10;Automatisch generierte Beschreibung">
                    <a:hlinkClick r:id="rId5"/>
                  </pic:cNvPr>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Pr>
        <w:rFonts w:ascii="Stone Sans II ITC Com Lt Cn" w:hAnsi="Stone Sans II ITC Com Lt Cn"/>
        <w:noProof/>
        <w:color w:val="BFBFBF"/>
        <w:sz w:val="18"/>
        <w:szCs w:val="18"/>
        <w:lang w:eastAsia="de-DE"/>
      </w:rPr>
      <w:drawing>
        <wp:anchor distT="0" distB="0" distL="114300" distR="114300" simplePos="0" relativeHeight="251659264" behindDoc="1" locked="0" layoutInCell="1" allowOverlap="1" wp14:anchorId="3F87D2A5" wp14:editId="7E0634EB">
          <wp:simplePos x="0" y="0"/>
          <wp:positionH relativeFrom="margin">
            <wp:posOffset>19050</wp:posOffset>
          </wp:positionH>
          <wp:positionV relativeFrom="paragraph">
            <wp:posOffset>9525</wp:posOffset>
          </wp:positionV>
          <wp:extent cx="252000" cy="252000"/>
          <wp:effectExtent l="0" t="0" r="0" b="0"/>
          <wp:wrapTight wrapText="bothSides">
            <wp:wrapPolygon edited="0">
              <wp:start x="0" y="0"/>
              <wp:lineTo x="0" y="19636"/>
              <wp:lineTo x="19636" y="19636"/>
              <wp:lineTo x="19636" y="0"/>
              <wp:lineTo x="0" y="0"/>
            </wp:wrapPolygon>
          </wp:wrapTight>
          <wp:docPr id="8" name="Grafik 8" descr="Ein Bild, das Symbol, Logo, rot, Schrift enthält.&#10;&#10;Automatisch generierte Beschreibu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Symbol, Logo, rot, Schrift enthält.&#10;&#10;Automatisch generierte Beschreibung">
                    <a:hlinkClick r:id="rId7"/>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1312" behindDoc="0" locked="0" layoutInCell="1" allowOverlap="1" wp14:anchorId="45DAED9D" wp14:editId="57755639">
          <wp:simplePos x="0" y="0"/>
          <wp:positionH relativeFrom="column">
            <wp:posOffset>381000</wp:posOffset>
          </wp:positionH>
          <wp:positionV relativeFrom="paragraph">
            <wp:posOffset>9525</wp:posOffset>
          </wp:positionV>
          <wp:extent cx="251460" cy="251460"/>
          <wp:effectExtent l="0" t="0" r="0" b="0"/>
          <wp:wrapThrough wrapText="bothSides">
            <wp:wrapPolygon edited="0">
              <wp:start x="0" y="0"/>
              <wp:lineTo x="0" y="19636"/>
              <wp:lineTo x="19636" y="19636"/>
              <wp:lineTo x="19636" y="0"/>
              <wp:lineTo x="0" y="0"/>
            </wp:wrapPolygon>
          </wp:wrapThrough>
          <wp:docPr id="7" name="Grafik 7" descr="Ein Bild, das Logo, Text, Symbol, Schrift enthält.&#10;&#10;Automatisch generierte Beschreibu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Logo, Text, Symbol, Schrift enthält.&#10;&#10;Automatisch generierte Beschreibung">
                    <a:hlinkClick r:id="rId9"/>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Pr>
        <w:rFonts w:ascii="Stone Sans II ITC Com Lt Cn" w:hAnsi="Stone Sans II ITC Com Lt Cn"/>
        <w:noProof/>
        <w:color w:val="BFBFBF"/>
        <w:sz w:val="18"/>
        <w:szCs w:val="18"/>
        <w:lang w:eastAsia="de-D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A06BE5" w14:textId="77777777" w:rsidR="00127640" w:rsidRDefault="00127640" w:rsidP="004D0869">
      <w:pPr>
        <w:spacing w:after="0" w:line="240" w:lineRule="auto"/>
      </w:pPr>
      <w:r>
        <w:separator/>
      </w:r>
    </w:p>
  </w:footnote>
  <w:footnote w:type="continuationSeparator" w:id="0">
    <w:p w14:paraId="0D6B9C3C" w14:textId="77777777" w:rsidR="00127640" w:rsidRDefault="00127640" w:rsidP="004D08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BA4466"/>
    <w:multiLevelType w:val="hybridMultilevel"/>
    <w:tmpl w:val="CB121502"/>
    <w:lvl w:ilvl="0" w:tplc="37844ECE">
      <w:numFmt w:val="bullet"/>
      <w:lvlText w:val="-"/>
      <w:lvlJc w:val="left"/>
      <w:pPr>
        <w:ind w:left="720" w:hanging="360"/>
      </w:pPr>
      <w:rPr>
        <w:rFonts w:ascii="Stone Sans II ITC Com Bk" w:eastAsiaTheme="minorHAnsi" w:hAnsi="Stone Sans II ITC Com Bk"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AFB24FC"/>
    <w:multiLevelType w:val="multilevel"/>
    <w:tmpl w:val="2E584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8552527"/>
    <w:multiLevelType w:val="multilevel"/>
    <w:tmpl w:val="FEB4E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15978310">
    <w:abstractNumId w:val="1"/>
  </w:num>
  <w:num w:numId="2" w16cid:durableId="796752753">
    <w:abstractNumId w:val="2"/>
  </w:num>
  <w:num w:numId="3" w16cid:durableId="8913850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869"/>
    <w:rsid w:val="00003F1D"/>
    <w:rsid w:val="000408D8"/>
    <w:rsid w:val="000F232F"/>
    <w:rsid w:val="000F32FA"/>
    <w:rsid w:val="00100AC0"/>
    <w:rsid w:val="00123B7B"/>
    <w:rsid w:val="00127640"/>
    <w:rsid w:val="00127A97"/>
    <w:rsid w:val="00170094"/>
    <w:rsid w:val="001A2852"/>
    <w:rsid w:val="001C2FCC"/>
    <w:rsid w:val="001E719B"/>
    <w:rsid w:val="001F5D89"/>
    <w:rsid w:val="0025135D"/>
    <w:rsid w:val="002F5509"/>
    <w:rsid w:val="003A2C9D"/>
    <w:rsid w:val="00462AE5"/>
    <w:rsid w:val="004C143A"/>
    <w:rsid w:val="004D0869"/>
    <w:rsid w:val="00525261"/>
    <w:rsid w:val="0056059A"/>
    <w:rsid w:val="005647CD"/>
    <w:rsid w:val="00614A11"/>
    <w:rsid w:val="0065002B"/>
    <w:rsid w:val="006A7D65"/>
    <w:rsid w:val="00732871"/>
    <w:rsid w:val="00771D5F"/>
    <w:rsid w:val="00787734"/>
    <w:rsid w:val="007D5A93"/>
    <w:rsid w:val="007E5598"/>
    <w:rsid w:val="0082407B"/>
    <w:rsid w:val="00885F08"/>
    <w:rsid w:val="00896A2A"/>
    <w:rsid w:val="008E6BC8"/>
    <w:rsid w:val="009431DF"/>
    <w:rsid w:val="00963C04"/>
    <w:rsid w:val="0099668E"/>
    <w:rsid w:val="009D1227"/>
    <w:rsid w:val="009E2F34"/>
    <w:rsid w:val="00A3599B"/>
    <w:rsid w:val="00B25D95"/>
    <w:rsid w:val="00B81A62"/>
    <w:rsid w:val="00BB0C59"/>
    <w:rsid w:val="00BD6DA9"/>
    <w:rsid w:val="00BF548A"/>
    <w:rsid w:val="00D54F1A"/>
    <w:rsid w:val="00D577F5"/>
    <w:rsid w:val="00D95F35"/>
    <w:rsid w:val="00DA469A"/>
    <w:rsid w:val="00DB71FB"/>
    <w:rsid w:val="00E722E3"/>
    <w:rsid w:val="00E76E6E"/>
    <w:rsid w:val="00EA488F"/>
    <w:rsid w:val="00FF377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78F9D"/>
  <w15:chartTrackingRefBased/>
  <w15:docId w15:val="{5B5BD678-1B6F-4CDC-B473-8BD9394ED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4D0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4D0869"/>
    <w:rPr>
      <w:color w:val="0563C1" w:themeColor="hyperlink"/>
      <w:u w:val="single"/>
    </w:rPr>
  </w:style>
  <w:style w:type="paragraph" w:styleId="Kopfzeile">
    <w:name w:val="header"/>
    <w:basedOn w:val="Standard"/>
    <w:link w:val="KopfzeileZchn"/>
    <w:uiPriority w:val="99"/>
    <w:unhideWhenUsed/>
    <w:rsid w:val="004D086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D0869"/>
  </w:style>
  <w:style w:type="paragraph" w:styleId="Fuzeile">
    <w:name w:val="footer"/>
    <w:basedOn w:val="Standard"/>
    <w:link w:val="FuzeileZchn"/>
    <w:uiPriority w:val="99"/>
    <w:unhideWhenUsed/>
    <w:rsid w:val="004D086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D0869"/>
  </w:style>
  <w:style w:type="paragraph" w:styleId="Listenabsatz">
    <w:name w:val="List Paragraph"/>
    <w:basedOn w:val="Standard"/>
    <w:uiPriority w:val="34"/>
    <w:qFormat/>
    <w:rsid w:val="001C2FCC"/>
    <w:pPr>
      <w:ind w:left="720"/>
      <w:contextualSpacing/>
    </w:pPr>
  </w:style>
  <w:style w:type="character" w:styleId="BesuchterLink">
    <w:name w:val="FollowedHyperlink"/>
    <w:basedOn w:val="Absatz-Standardschriftart"/>
    <w:uiPriority w:val="99"/>
    <w:semiHidden/>
    <w:unhideWhenUsed/>
    <w:rsid w:val="00BB0C59"/>
    <w:rPr>
      <w:color w:val="954F72" w:themeColor="followedHyperlink"/>
      <w:u w:val="single"/>
    </w:rPr>
  </w:style>
  <w:style w:type="character" w:styleId="NichtaufgelsteErwhnung">
    <w:name w:val="Unresolved Mention"/>
    <w:basedOn w:val="Absatz-Standardschriftart"/>
    <w:uiPriority w:val="99"/>
    <w:semiHidden/>
    <w:unhideWhenUsed/>
    <w:rsid w:val="00BB0C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1651350">
      <w:bodyDiv w:val="1"/>
      <w:marLeft w:val="0"/>
      <w:marRight w:val="0"/>
      <w:marTop w:val="0"/>
      <w:marBottom w:val="0"/>
      <w:divBdr>
        <w:top w:val="none" w:sz="0" w:space="0" w:color="auto"/>
        <w:left w:val="none" w:sz="0" w:space="0" w:color="auto"/>
        <w:bottom w:val="none" w:sz="0" w:space="0" w:color="auto"/>
        <w:right w:val="none" w:sz="0" w:space="0" w:color="auto"/>
      </w:divBdr>
    </w:div>
    <w:div w:id="1938100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hyperlink" Target="http://www.aco-pfuhler.de" TargetMode="External"/><Relationship Id="rId3" Type="http://schemas.openxmlformats.org/officeDocument/2006/relationships/customXml" Target="../customXml/item3.xml"/><Relationship Id="rId21" Type="http://schemas.openxmlformats.org/officeDocument/2006/relationships/hyperlink" Target="mailto:tanja.holst@aco.com" TargetMode="External"/><Relationship Id="rId7" Type="http://schemas.openxmlformats.org/officeDocument/2006/relationships/webSettings" Target="webSettings.xml"/><Relationship Id="rId12" Type="http://schemas.openxmlformats.org/officeDocument/2006/relationships/hyperlink" Target="http://www.aco-detego.de" TargetMode="External"/><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hyperlink" Target="tel:+494331354174"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co.de"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www.aco.de"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6.tif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hyperlink" Target="https://www.youtube.com/user/ACO" TargetMode="External"/><Relationship Id="rId7" Type="http://schemas.openxmlformats.org/officeDocument/2006/relationships/hyperlink" Target="https://www.facebook.com/aco.gmbh/" TargetMode="External"/><Relationship Id="rId2" Type="http://schemas.openxmlformats.org/officeDocument/2006/relationships/image" Target="media/image7.jpeg"/><Relationship Id="rId1" Type="http://schemas.openxmlformats.org/officeDocument/2006/relationships/hyperlink" Target="https://www.pinterest.de/aco_group/" TargetMode="External"/><Relationship Id="rId6" Type="http://schemas.openxmlformats.org/officeDocument/2006/relationships/image" Target="media/image9.jpeg"/><Relationship Id="rId5" Type="http://schemas.openxmlformats.org/officeDocument/2006/relationships/hyperlink" Target="https://www.instagram.com/aco_gmbh/" TargetMode="External"/><Relationship Id="rId10" Type="http://schemas.openxmlformats.org/officeDocument/2006/relationships/image" Target="media/image11.jpeg"/><Relationship Id="rId4" Type="http://schemas.openxmlformats.org/officeDocument/2006/relationships/image" Target="media/image8.jpeg"/><Relationship Id="rId9" Type="http://schemas.openxmlformats.org/officeDocument/2006/relationships/hyperlink" Target="https://www.linkedin.com/company/9254055/"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DDD36305749DF438436132E560B35AF" ma:contentTypeVersion="16" ma:contentTypeDescription="Ein neues Dokument erstellen." ma:contentTypeScope="" ma:versionID="0091e01bc578d348cc09bb86a3a34493">
  <xsd:schema xmlns:xsd="http://www.w3.org/2001/XMLSchema" xmlns:xs="http://www.w3.org/2001/XMLSchema" xmlns:p="http://schemas.microsoft.com/office/2006/metadata/properties" xmlns:ns2="302c2ba9-0821-44b8-bce8-78036e4dc9b1" xmlns:ns3="c2a3673c-1a77-400d-9cd5-c0ea6828ea9c" targetNamespace="http://schemas.microsoft.com/office/2006/metadata/properties" ma:root="true" ma:fieldsID="98eeac6d1501a6cf3286876c60a3c5cc" ns2:_="" ns3:_="">
    <xsd:import namespace="302c2ba9-0821-44b8-bce8-78036e4dc9b1"/>
    <xsd:import namespace="c2a3673c-1a77-400d-9cd5-c0ea6828ea9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ObjectDetectorVersions" minOccurs="0"/>
                <xsd:element ref="ns2:MediaServiceLocation" minOccurs="0"/>
                <xsd:element ref="ns2:MediaLengthInSecond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2c2ba9-0821-44b8-bce8-78036e4dc9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ierungen" ma:readOnly="false" ma:fieldId="{5cf76f15-5ced-4ddc-b409-7134ff3c332f}" ma:taxonomyMulti="true" ma:sspId="5da4b1dc-eab0-4e19-a590-38a703476e0a"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a3673c-1a77-400d-9cd5-c0ea6828ea9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91cd277-1a1b-4123-bd99-8e944b4dd903}" ma:internalName="TaxCatchAll" ma:showField="CatchAllData" ma:web="c2a3673c-1a77-400d-9cd5-c0ea6828ea9c">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02c2ba9-0821-44b8-bce8-78036e4dc9b1">
      <Terms xmlns="http://schemas.microsoft.com/office/infopath/2007/PartnerControls"/>
    </lcf76f155ced4ddcb4097134ff3c332f>
    <TaxCatchAll xmlns="c2a3673c-1a77-400d-9cd5-c0ea6828ea9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FF6C87-9D53-4B87-BEB3-A7404DC9C2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2c2ba9-0821-44b8-bce8-78036e4dc9b1"/>
    <ds:schemaRef ds:uri="c2a3673c-1a77-400d-9cd5-c0ea6828ea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13A2BE-75BA-4EC7-9E66-4A01B67280B3}">
  <ds:schemaRefs>
    <ds:schemaRef ds:uri="http://schemas.microsoft.com/office/2006/metadata/properties"/>
    <ds:schemaRef ds:uri="http://schemas.microsoft.com/office/infopath/2007/PartnerControls"/>
    <ds:schemaRef ds:uri="302c2ba9-0821-44b8-bce8-78036e4dc9b1"/>
    <ds:schemaRef ds:uri="c2a3673c-1a77-400d-9cd5-c0ea6828ea9c"/>
  </ds:schemaRefs>
</ds:datastoreItem>
</file>

<file path=customXml/itemProps3.xml><?xml version="1.0" encoding="utf-8"?>
<ds:datastoreItem xmlns:ds="http://schemas.openxmlformats.org/officeDocument/2006/customXml" ds:itemID="{11A4C93B-44EF-4980-B3F6-AC98B8CFBF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601</Words>
  <Characters>3787</Characters>
  <Application>Microsoft Office Word</Application>
  <DocSecurity>0</DocSecurity>
  <Lines>31</Lines>
  <Paragraphs>8</Paragraphs>
  <ScaleCrop>false</ScaleCrop>
  <Company/>
  <LinksUpToDate>false</LinksUpToDate>
  <CharactersWithSpaces>4380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Holst, Tanja</dc:creator>
  <cp:keywords/>
  <dc:description/>
  <cp:lastModifiedBy>Holst, Tanja</cp:lastModifiedBy>
  <cp:revision>51</cp:revision>
  <dcterms:created xsi:type="dcterms:W3CDTF">2024-04-14T12:03:00Z</dcterms:created>
  <dcterms:modified xsi:type="dcterms:W3CDTF">2026-01-11T19:28:00Z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02c3a69-5bb1-4896-a591-f45b96dda59d_Enabled">
    <vt:lpwstr>true</vt:lpwstr>
  </property>
  <property fmtid="{D5CDD505-2E9C-101B-9397-08002B2CF9AE}" pid="3" name="MSIP_Label_a02c3a69-5bb1-4896-a591-f45b96dda59d_SetDate">
    <vt:lpwstr>2024-04-14T12:09:26Z</vt:lpwstr>
  </property>
  <property fmtid="{D5CDD505-2E9C-101B-9397-08002B2CF9AE}" pid="4" name="MSIP_Label_a02c3a69-5bb1-4896-a591-f45b96dda59d_Method">
    <vt:lpwstr>Standard</vt:lpwstr>
  </property>
  <property fmtid="{D5CDD505-2E9C-101B-9397-08002B2CF9AE}" pid="5" name="MSIP_Label_a02c3a69-5bb1-4896-a591-f45b96dda59d_Name">
    <vt:lpwstr>Public</vt:lpwstr>
  </property>
  <property fmtid="{D5CDD505-2E9C-101B-9397-08002B2CF9AE}" pid="6" name="MSIP_Label_a02c3a69-5bb1-4896-a591-f45b96dda59d_SiteId">
    <vt:lpwstr>b53f6739-82d2-42c3-8e8d-458bdd89805b</vt:lpwstr>
  </property>
  <property fmtid="{D5CDD505-2E9C-101B-9397-08002B2CF9AE}" pid="7" name="MSIP_Label_a02c3a69-5bb1-4896-a591-f45b96dda59d_ActionId">
    <vt:lpwstr>78a95a13-6b63-4f80-8403-383cfc2eea3e</vt:lpwstr>
  </property>
  <property fmtid="{D5CDD505-2E9C-101B-9397-08002B2CF9AE}" pid="8" name="MSIP_Label_a02c3a69-5bb1-4896-a591-f45b96dda59d_ContentBits">
    <vt:lpwstr>0</vt:lpwstr>
  </property>
  <property fmtid="{D5CDD505-2E9C-101B-9397-08002B2CF9AE}" pid="9" name="ContentTypeId">
    <vt:lpwstr>0x0101008DDD36305749DF438436132E560B35AF</vt:lpwstr>
  </property>
  <property fmtid="{D5CDD505-2E9C-101B-9397-08002B2CF9AE}" pid="10" name="docLang">
    <vt:lpwstr>de</vt:lpwstr>
  </property>
  <property fmtid="{D5CDD505-2E9C-101B-9397-08002B2CF9AE}" pid="11" name="MediaServiceImageTags">
    <vt:lpwstr/>
  </property>
</Properties>
</file>