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AA3A20" w14:textId="77777777" w:rsidR="004D0869" w:rsidRPr="004D0869" w:rsidRDefault="004D0869">
      <w:pPr>
        <w:rPr>
          <w:rFonts w:ascii="Stone Sans II ITC Com Bk" w:hAnsi="Stone Sans II ITC Com Bk"/>
        </w:rPr>
      </w:pPr>
    </w:p>
    <w:p w14:paraId="13FB6A62" w14:textId="77777777" w:rsidR="004D0869" w:rsidRPr="004D0869" w:rsidRDefault="004D0869">
      <w:pPr>
        <w:rPr>
          <w:rFonts w:ascii="Stone Sans II ITC Com Bk" w:hAnsi="Stone Sans II ITC Com Bk"/>
        </w:rPr>
      </w:pPr>
    </w:p>
    <w:p w14:paraId="6BE39954" w14:textId="77777777" w:rsidR="004D0869" w:rsidRPr="004D0869" w:rsidRDefault="004D0869">
      <w:pPr>
        <w:rPr>
          <w:rFonts w:ascii="Stone Sans II ITC Com Bk" w:hAnsi="Stone Sans II ITC Com Bk"/>
        </w:rPr>
      </w:pPr>
    </w:p>
    <w:p w14:paraId="201BB4BD" w14:textId="77777777" w:rsidR="004D0869" w:rsidRPr="004D0869" w:rsidRDefault="004D0869">
      <w:pPr>
        <w:rPr>
          <w:rFonts w:ascii="Stone Sans II ITC Com Bk" w:hAnsi="Stone Sans II ITC Com Bk"/>
        </w:rPr>
      </w:pPr>
    </w:p>
    <w:p w14:paraId="48F07892" w14:textId="20759F40" w:rsidR="006A7D65" w:rsidRPr="004D0869" w:rsidRDefault="004D0869">
      <w:pPr>
        <w:rPr>
          <w:rFonts w:ascii="Stone Sans II ITC Com Bk" w:hAnsi="Stone Sans II ITC Com Bk"/>
          <w:sz w:val="32"/>
          <w:szCs w:val="32"/>
        </w:rPr>
      </w:pPr>
      <w:r w:rsidRPr="004D0869">
        <w:rPr>
          <w:rFonts w:ascii="Stone Sans II ITC Com Bk" w:hAnsi="Stone Sans II ITC Com Bk" w:cs="NewsGothic,Bold"/>
          <w:b/>
          <w:bCs/>
          <w:noProof/>
          <w:sz w:val="36"/>
          <w:szCs w:val="30"/>
          <w:lang w:eastAsia="de-DE"/>
        </w:rPr>
        <w:drawing>
          <wp:anchor distT="0" distB="0" distL="114300" distR="114300" simplePos="0" relativeHeight="251658240" behindDoc="0" locked="0" layoutInCell="1" allowOverlap="1" wp14:anchorId="5D19DB0D" wp14:editId="15C49447">
            <wp:simplePos x="0" y="0"/>
            <wp:positionH relativeFrom="margin">
              <wp:align>right</wp:align>
            </wp:positionH>
            <wp:positionV relativeFrom="margin">
              <wp:align>top</wp:align>
            </wp:positionV>
            <wp:extent cx="827405" cy="827405"/>
            <wp:effectExtent l="0" t="0" r="0" b="0"/>
            <wp:wrapSquare wrapText="bothSides"/>
            <wp:docPr id="1" name="Grafik 1" descr="Ein Bild, das Grafiken, rot, Schrif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Grafiken, rot, Schrift, Screenshot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margin">
              <wp14:pctWidth>0</wp14:pctWidth>
            </wp14:sizeRelH>
            <wp14:sizeRelV relativeFrom="margin">
              <wp14:pctHeight>0</wp14:pctHeight>
            </wp14:sizeRelV>
          </wp:anchor>
        </w:drawing>
      </w:r>
      <w:r w:rsidRPr="004D0869">
        <w:rPr>
          <w:rFonts w:ascii="Stone Sans II ITC Com Bk" w:hAnsi="Stone Sans II ITC Com Bk"/>
          <w:sz w:val="32"/>
          <w:szCs w:val="32"/>
        </w:rPr>
        <w:t>Pressemitteilung</w:t>
      </w:r>
    </w:p>
    <w:p w14:paraId="35E05FE6" w14:textId="77777777" w:rsidR="004D0869" w:rsidRDefault="004D0869">
      <w:pPr>
        <w:rPr>
          <w:rFonts w:ascii="Stone Sans II ITC Com Bk" w:hAnsi="Stone Sans II ITC Com Bk"/>
        </w:rPr>
      </w:pPr>
    </w:p>
    <w:p w14:paraId="5224E074" w14:textId="100A743A" w:rsidR="004D0869" w:rsidRDefault="004D0869" w:rsidP="004D0869">
      <w:pPr>
        <w:jc w:val="right"/>
        <w:rPr>
          <w:rFonts w:ascii="Stone Sans II ITC Com Bk" w:hAnsi="Stone Sans II ITC Com Bk"/>
        </w:rPr>
      </w:pPr>
      <w:r>
        <w:rPr>
          <w:rFonts w:ascii="Stone Sans II ITC Com Bk" w:hAnsi="Stone Sans II ITC Com Bk"/>
        </w:rPr>
        <w:t xml:space="preserve">Büdelsdorf, </w:t>
      </w:r>
      <w:r w:rsidR="00D05605">
        <w:rPr>
          <w:rFonts w:ascii="Stone Sans II ITC Com Bk" w:hAnsi="Stone Sans II ITC Com Bk"/>
        </w:rPr>
        <w:t>13.01.2026</w:t>
      </w:r>
    </w:p>
    <w:p w14:paraId="553229C7" w14:textId="77777777" w:rsidR="00E722E3" w:rsidRDefault="00E722E3" w:rsidP="004D0869">
      <w:pPr>
        <w:jc w:val="right"/>
        <w:rPr>
          <w:rFonts w:ascii="Stone Sans II ITC Com Bk" w:hAnsi="Stone Sans II ITC Com Bk"/>
        </w:rPr>
      </w:pPr>
    </w:p>
    <w:p w14:paraId="554E19AA" w14:textId="77777777" w:rsidR="00E722E3" w:rsidRDefault="00E722E3" w:rsidP="004D0869">
      <w:pPr>
        <w:jc w:val="right"/>
        <w:rPr>
          <w:rFonts w:ascii="Stone Sans II ITC Com Bk" w:hAnsi="Stone Sans II ITC Com Bk"/>
        </w:rPr>
      </w:pPr>
    </w:p>
    <w:p w14:paraId="3AF3E9B3" w14:textId="77777777" w:rsidR="00D05605" w:rsidRPr="00D05605" w:rsidRDefault="00D05605" w:rsidP="00D05605">
      <w:pPr>
        <w:rPr>
          <w:rFonts w:ascii="Stone Sans II ITC Com Bk" w:hAnsi="Stone Sans II ITC Com Bk"/>
          <w:b/>
          <w:bCs/>
        </w:rPr>
      </w:pPr>
      <w:r w:rsidRPr="00D05605">
        <w:rPr>
          <w:rFonts w:ascii="Stone Sans II ITC Com Bk" w:hAnsi="Stone Sans II ITC Com Bk"/>
          <w:b/>
          <w:bCs/>
        </w:rPr>
        <w:t>ACO Green City: Regenwasser behandeln, zurückhalten, sinnvoll nutzen – für klimaresiliente Städte</w:t>
      </w:r>
    </w:p>
    <w:p w14:paraId="10BD56C7" w14:textId="3D169277" w:rsidR="00D05605" w:rsidRPr="00D05605" w:rsidRDefault="00D05605" w:rsidP="00D05605">
      <w:pPr>
        <w:rPr>
          <w:rFonts w:ascii="Stone Sans II ITC Com Bk" w:hAnsi="Stone Sans II ITC Com Bk"/>
          <w:i/>
          <w:iCs/>
        </w:rPr>
      </w:pPr>
      <w:r w:rsidRPr="00D05605">
        <w:rPr>
          <w:rFonts w:ascii="Stone Sans II ITC Com Bk" w:hAnsi="Stone Sans II ITC Com Bk"/>
          <w:i/>
          <w:iCs/>
        </w:rPr>
        <w:t xml:space="preserve">Urbaner Raum verlangt nach Lösungen, die Entwässerung, Umweltschutz und Aufenthaltsqualität verbinden. Unter dem Leitmotiv „Infrastruktur neu denken. Wasser sicher lenken.“ zeigt ACO </w:t>
      </w:r>
      <w:r w:rsidR="00CD41D3">
        <w:rPr>
          <w:rFonts w:ascii="Stone Sans II ITC Com Bk" w:hAnsi="Stone Sans II ITC Com Bk"/>
          <w:i/>
          <w:iCs/>
        </w:rPr>
        <w:t xml:space="preserve">den Bereich </w:t>
      </w:r>
      <w:r w:rsidRPr="00D05605">
        <w:rPr>
          <w:rFonts w:ascii="Stone Sans II ITC Com Bk" w:hAnsi="Stone Sans II ITC Com Bk"/>
          <w:i/>
          <w:iCs/>
        </w:rPr>
        <w:t>Green City auf der InfraTech 2026, wie Regenwasser im Sinne der Schwammstadtstrategie gereinigt, zurückgehalten, versickert und im Kreislauf geführt werden kann. Die Exponate veranschaulichen die Schritte des ACO WaterCycle für eine zukunftsorientierte Stadtentwicklung.</w:t>
      </w:r>
    </w:p>
    <w:p w14:paraId="7E2D8C26" w14:textId="5A86DC1C" w:rsidR="00441A49" w:rsidRDefault="004D1D3E" w:rsidP="004D1D3E">
      <w:pPr>
        <w:rPr>
          <w:rFonts w:ascii="Stone Sans II ITC Com Bk" w:hAnsi="Stone Sans II ITC Com Bk"/>
        </w:rPr>
      </w:pPr>
      <w:r w:rsidRPr="004D1D3E">
        <w:rPr>
          <w:rFonts w:ascii="Stone Sans II ITC Com Bk" w:hAnsi="Stone Sans II ITC Com Bk"/>
        </w:rPr>
        <w:t xml:space="preserve">Damit Regenwasser sicher dem Stadtgrün oder dem Grundwasser zugeführt werden kann, ist eine fachgerechte Reinigung unerlässlich. </w:t>
      </w:r>
      <w:r w:rsidR="009411C2" w:rsidRPr="00441A49">
        <w:rPr>
          <w:rFonts w:ascii="Stone Sans II ITC Com Bk" w:hAnsi="Stone Sans II ITC Com Bk"/>
        </w:rPr>
        <w:t>Hierfür stehen Systeme wie die DIBt-zugelassene Regenwasserbehandlung Stormclean sowie der Separationsstraßenablauf SSA zur Verfügung, der Feststoffeinträge in das Kanalnetz signifikant reduziert.</w:t>
      </w:r>
      <w:r w:rsidR="00231C3F">
        <w:rPr>
          <w:rFonts w:ascii="Stone Sans II ITC Com Bk" w:hAnsi="Stone Sans II ITC Com Bk"/>
        </w:rPr>
        <w:t xml:space="preserve"> </w:t>
      </w:r>
      <w:r w:rsidRPr="004D1D3E">
        <w:rPr>
          <w:rFonts w:ascii="Stone Sans II ITC Com Bk" w:hAnsi="Stone Sans II ITC Com Bk"/>
        </w:rPr>
        <w:t>Das System ist mit dem IKT-Prüfsiegel ausgezeichnet und erfüllt die Anforderungen des Trennerlasses NRW sowie den AFS63-Rückhalt. So wird sichergestellt, dass kritische Stofffrachten wirksam zurückgehalten und nachfolgende Anlagen optimal geschützt werden – für eine nachhaltige und sichere Regenwasserbewirtschaftung.</w:t>
      </w:r>
    </w:p>
    <w:p w14:paraId="30E211BC" w14:textId="20D456D9" w:rsidR="00D05605" w:rsidRPr="00D05605" w:rsidRDefault="00D05605" w:rsidP="00D05605">
      <w:pPr>
        <w:rPr>
          <w:rFonts w:ascii="Stone Sans II ITC Com Bk" w:hAnsi="Stone Sans II ITC Com Bk"/>
        </w:rPr>
      </w:pPr>
      <w:r w:rsidRPr="00D05605">
        <w:rPr>
          <w:rFonts w:ascii="Stone Sans II ITC Com Bk" w:hAnsi="Stone Sans II ITC Com Bk"/>
        </w:rPr>
        <w:t xml:space="preserve">Für Rückhaltung und Versickerung wird </w:t>
      </w:r>
      <w:r w:rsidR="00171D00">
        <w:rPr>
          <w:rFonts w:ascii="Stone Sans II ITC Com Bk" w:hAnsi="Stone Sans II ITC Com Bk"/>
        </w:rPr>
        <w:t xml:space="preserve">die Rigole </w:t>
      </w:r>
      <w:r w:rsidRPr="00D05605">
        <w:rPr>
          <w:rFonts w:ascii="Stone Sans II ITC Com Bk" w:hAnsi="Stone Sans II ITC Com Bk"/>
        </w:rPr>
        <w:t xml:space="preserve">Stormbrixx mit Füllstandsmessung und Funkdeckel gezeigt. Die digitale Überwachung ermöglicht es, Speichervolumen und Betriebszustände aus der Ferne </w:t>
      </w:r>
      <w:r w:rsidR="00DB73CA">
        <w:rPr>
          <w:rFonts w:ascii="Stone Sans II ITC Com Bk" w:hAnsi="Stone Sans II ITC Com Bk"/>
        </w:rPr>
        <w:t>via mobiles Dashboard</w:t>
      </w:r>
      <w:r w:rsidR="008D2731">
        <w:rPr>
          <w:rFonts w:ascii="Stone Sans II ITC Com Bk" w:hAnsi="Stone Sans II ITC Com Bk"/>
        </w:rPr>
        <w:t xml:space="preserve"> </w:t>
      </w:r>
      <w:r w:rsidRPr="00D05605">
        <w:rPr>
          <w:rFonts w:ascii="Stone Sans II ITC Com Bk" w:hAnsi="Stone Sans II ITC Com Bk"/>
        </w:rPr>
        <w:t>zu kontrollieren. So lassen sich Starkregenereignisse besser managen, Wartung zielgerichteter planen und Entwässerungssysteme resilienter betreiben.</w:t>
      </w:r>
    </w:p>
    <w:p w14:paraId="6BCF2173" w14:textId="43266E92" w:rsidR="00D05605" w:rsidRPr="00D05605" w:rsidRDefault="00D05605" w:rsidP="00D05605">
      <w:pPr>
        <w:rPr>
          <w:rFonts w:ascii="Stone Sans II ITC Com Bk" w:hAnsi="Stone Sans II ITC Com Bk"/>
        </w:rPr>
      </w:pPr>
      <w:r w:rsidRPr="00D05605">
        <w:rPr>
          <w:rFonts w:ascii="Stone Sans II ITC Com Bk" w:hAnsi="Stone Sans II ITC Com Bk"/>
        </w:rPr>
        <w:t>Die Schwammstadt wird als anwendungsnahes Exponat inszeniert: Das Stockholmer System in Verbindung mit dem Schwammstadt</w:t>
      </w:r>
      <w:r w:rsidR="00B76CED">
        <w:rPr>
          <w:rFonts w:ascii="Stone Sans II ITC Com Bk" w:hAnsi="Stone Sans II ITC Com Bk"/>
        </w:rPr>
        <w:t xml:space="preserve"> Straßenablauf</w:t>
      </w:r>
      <w:r w:rsidRPr="00D05605">
        <w:rPr>
          <w:rFonts w:ascii="Stone Sans II ITC Com Bk" w:hAnsi="Stone Sans II ITC Com Bk"/>
        </w:rPr>
        <w:t xml:space="preserve"> demonstriert, wie Baumstandorte, Entwässerungstechnik und Untergrundspeicher so kombiniert werden, dass Regenwasser dezentral aufgenommen, gefiltert und den Vegetationsflächen zur Verfügung gestellt wird. Dies trägt zur Kühlung, zur Verbesserung des Stadtklimas und zur Entlastung der Kanalnetze bei.</w:t>
      </w:r>
    </w:p>
    <w:p w14:paraId="4D3FBE45" w14:textId="77777777" w:rsidR="009E2749" w:rsidRDefault="00D05605" w:rsidP="00D05605">
      <w:pPr>
        <w:rPr>
          <w:rFonts w:ascii="Stone Sans II ITC Com Bk" w:hAnsi="Stone Sans II ITC Com Bk"/>
        </w:rPr>
      </w:pPr>
      <w:r w:rsidRPr="00D05605">
        <w:rPr>
          <w:rFonts w:ascii="Stone Sans II ITC Com Bk" w:hAnsi="Stone Sans II ITC Com Bk"/>
        </w:rPr>
        <w:lastRenderedPageBreak/>
        <w:t>Alle Bausteine sind Teil des ACO WaterCycle, der Aufnahme, Ableitung, Reinigung, Rückhaltung und mögliche Wiederverwendung strukturiert. Die Themenwelt ACO Green City zeigt damit, wie technische Präzision, ökologische Zielsetzungen und die Anforderungen der kommunalen Planungspraxis zusammengeführt werden. Das Ergebnis ist ein modularer Werkzeugkasten für klimaresiliente Quartiere und belastbare Infrastrukturen.</w:t>
      </w:r>
    </w:p>
    <w:p w14:paraId="0679967A" w14:textId="56E9BEB9" w:rsidR="009E2749" w:rsidRDefault="009E2749" w:rsidP="00D05605">
      <w:pPr>
        <w:rPr>
          <w:rFonts w:ascii="Stone Sans II ITC Com Bk" w:hAnsi="Stone Sans II ITC Com Bk"/>
        </w:rPr>
      </w:pPr>
      <w:r>
        <w:rPr>
          <w:rFonts w:ascii="Stone Sans II ITC Com Bk" w:hAnsi="Stone Sans II ITC Com Bk"/>
        </w:rPr>
        <w:t xml:space="preserve">Weitere Informationen: </w:t>
      </w:r>
      <w:hyperlink r:id="rId11" w:history="1">
        <w:r w:rsidRPr="008E5084">
          <w:rPr>
            <w:rStyle w:val="Hyperlink"/>
            <w:rFonts w:ascii="Stone Sans II ITC Com Bk" w:hAnsi="Stone Sans II ITC Com Bk"/>
          </w:rPr>
          <w:t>www.aco.de/green-city</w:t>
        </w:r>
      </w:hyperlink>
    </w:p>
    <w:p w14:paraId="5E57748F" w14:textId="77777777" w:rsidR="00486668" w:rsidRDefault="00486668" w:rsidP="00925CB0">
      <w:pPr>
        <w:rPr>
          <w:rFonts w:ascii="Stone Sans II ITC Com Bk" w:hAnsi="Stone Sans II ITC Com Bk"/>
        </w:rPr>
      </w:pPr>
    </w:p>
    <w:tbl>
      <w:tblPr>
        <w:tblStyle w:val="Tabellenraster"/>
        <w:tblW w:w="0" w:type="auto"/>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ook w:val="04A0" w:firstRow="1" w:lastRow="0" w:firstColumn="1" w:lastColumn="0" w:noHBand="0" w:noVBand="1"/>
      </w:tblPr>
      <w:tblGrid>
        <w:gridCol w:w="9062"/>
      </w:tblGrid>
      <w:tr w:rsidR="00486668" w14:paraId="7D99717A" w14:textId="77777777" w:rsidTr="00486668">
        <w:tc>
          <w:tcPr>
            <w:tcW w:w="9062" w:type="dxa"/>
          </w:tcPr>
          <w:p w14:paraId="4FBF184D" w14:textId="77777777" w:rsidR="00486668" w:rsidRDefault="00486668" w:rsidP="00486668">
            <w:pPr>
              <w:rPr>
                <w:rFonts w:ascii="Stone Sans II ITC Com Bk" w:hAnsi="Stone Sans II ITC Com Bk"/>
              </w:rPr>
            </w:pPr>
          </w:p>
          <w:p w14:paraId="0C892C22" w14:textId="2FB50CF6" w:rsidR="00486668" w:rsidRPr="00486668" w:rsidRDefault="00486668" w:rsidP="00486668">
            <w:pPr>
              <w:rPr>
                <w:rFonts w:ascii="Stone Sans II ITC Com Bk" w:hAnsi="Stone Sans II ITC Com Bk"/>
                <w:b/>
                <w:bCs/>
              </w:rPr>
            </w:pPr>
            <w:r w:rsidRPr="00486668">
              <w:rPr>
                <w:rFonts w:ascii="Stone Sans II ITC Com Bk" w:hAnsi="Stone Sans II ITC Com Bk"/>
                <w:b/>
                <w:bCs/>
              </w:rPr>
              <w:t xml:space="preserve">Der ACO </w:t>
            </w:r>
            <w:proofErr w:type="spellStart"/>
            <w:r w:rsidRPr="00486668">
              <w:rPr>
                <w:rFonts w:ascii="Stone Sans II ITC Com Bk" w:hAnsi="Stone Sans II ITC Com Bk"/>
                <w:b/>
                <w:bCs/>
              </w:rPr>
              <w:t>ProjectManager</w:t>
            </w:r>
            <w:proofErr w:type="spellEnd"/>
            <w:r w:rsidRPr="00486668">
              <w:rPr>
                <w:rFonts w:ascii="Stone Sans II ITC Com Bk" w:hAnsi="Stone Sans II ITC Com Bk"/>
                <w:b/>
                <w:bCs/>
              </w:rPr>
              <w:t>: Überflutungsnachweis leicht geplant</w:t>
            </w:r>
          </w:p>
          <w:p w14:paraId="056ED252" w14:textId="7C0EFEF4" w:rsidR="00486668" w:rsidRDefault="00486668" w:rsidP="00486668">
            <w:pPr>
              <w:rPr>
                <w:rFonts w:ascii="Stone Sans II ITC Com Bk" w:hAnsi="Stone Sans II ITC Com Bk"/>
              </w:rPr>
            </w:pPr>
            <w:r w:rsidRPr="00925CB0">
              <w:rPr>
                <w:rFonts w:ascii="Stone Sans II ITC Com Bk" w:hAnsi="Stone Sans II ITC Com Bk"/>
              </w:rPr>
              <w:t xml:space="preserve">Mit dem ACO </w:t>
            </w:r>
            <w:proofErr w:type="spellStart"/>
            <w:r w:rsidRPr="00925CB0">
              <w:rPr>
                <w:rFonts w:ascii="Stone Sans II ITC Com Bk" w:hAnsi="Stone Sans II ITC Com Bk"/>
              </w:rPr>
              <w:t>ProjectManager</w:t>
            </w:r>
            <w:proofErr w:type="spellEnd"/>
            <w:r w:rsidRPr="00925CB0">
              <w:rPr>
                <w:rFonts w:ascii="Stone Sans II ITC Com Bk" w:hAnsi="Stone Sans II ITC Com Bk"/>
              </w:rPr>
              <w:t xml:space="preserve"> lässt sich die Regenwasserbewirtschaftung einfach und unkompliziert online dimensionieren. Das webbasierte Tool bildet den ACO WaterCycle ab – von der Vorreinigung über die Versickerung und Rückhaltung bis hin zur Drosselung</w:t>
            </w:r>
            <w:r w:rsidR="00F45D7C">
              <w:rPr>
                <w:rFonts w:ascii="Stone Sans II ITC Com Bk" w:hAnsi="Stone Sans II ITC Com Bk"/>
              </w:rPr>
              <w:t xml:space="preserve"> nach den Regelwerken</w:t>
            </w:r>
            <w:r w:rsidRPr="00925CB0">
              <w:rPr>
                <w:rFonts w:ascii="Stone Sans II ITC Com Bk" w:hAnsi="Stone Sans II ITC Com Bk"/>
              </w:rPr>
              <w:t>. Auf Basis der Regendaten von KOSTRA-DWD-2020 simuliert das Tool Niederschlagsereignisse und analysiert das Risiko von Überschwemmungen. Dabei berücksichtigt er auch Geländemodellierungen, Abflussraten und hydraulische Eigenschaften des Entwässerungssystems. So kann der geforderte Überflutungsnachweis analog zu den aktuellen DWA-Regelwerken</w:t>
            </w:r>
            <w:r w:rsidR="00C91687">
              <w:rPr>
                <w:rFonts w:ascii="Stone Sans II ITC Com Bk" w:hAnsi="Stone Sans II ITC Com Bk"/>
              </w:rPr>
              <w:t xml:space="preserve"> – </w:t>
            </w:r>
            <w:r w:rsidR="00C91687">
              <w:rPr>
                <w:rFonts w:ascii="Stone Sans II ITC Com Bk" w:hAnsi="Stone Sans II ITC Com Bk"/>
              </w:rPr>
              <w:t>DWA-A 138-1 und DWA-A 102</w:t>
            </w:r>
            <w:r w:rsidR="00C91687">
              <w:rPr>
                <w:rFonts w:ascii="Stone Sans II ITC Com Bk" w:hAnsi="Stone Sans II ITC Com Bk"/>
              </w:rPr>
              <w:t xml:space="preserve"> – e</w:t>
            </w:r>
            <w:r w:rsidRPr="00925CB0">
              <w:rPr>
                <w:rFonts w:ascii="Stone Sans II ITC Com Bk" w:hAnsi="Stone Sans II ITC Com Bk"/>
              </w:rPr>
              <w:t>rstellt werden.</w:t>
            </w:r>
          </w:p>
          <w:p w14:paraId="07874F96" w14:textId="3BFFF7E3" w:rsidR="00486668" w:rsidRPr="00925CB0" w:rsidRDefault="00533541" w:rsidP="00486668">
            <w:pPr>
              <w:rPr>
                <w:rFonts w:ascii="Stone Sans II ITC Com Bk" w:hAnsi="Stone Sans II ITC Com Bk"/>
              </w:rPr>
            </w:pPr>
            <w:r>
              <w:rPr>
                <w:rFonts w:ascii="Stone Sans II ITC Com Bk" w:hAnsi="Stone Sans II ITC Com Bk"/>
              </w:rPr>
              <w:t xml:space="preserve">Jetzt Planung beginnen: </w:t>
            </w:r>
            <w:hyperlink r:id="rId12" w:history="1">
              <w:r w:rsidR="00D63893" w:rsidRPr="00682C99">
                <w:rPr>
                  <w:rStyle w:val="Hyperlink"/>
                  <w:rFonts w:ascii="Stone Sans II ITC Com Bk" w:hAnsi="Stone Sans II ITC Com Bk"/>
                </w:rPr>
                <w:t>https://www.aco.de/aco-projectmanager</w:t>
              </w:r>
            </w:hyperlink>
            <w:r w:rsidR="00486668">
              <w:rPr>
                <w:rFonts w:ascii="Stone Sans II ITC Com Bk" w:hAnsi="Stone Sans II ITC Com Bk"/>
              </w:rPr>
              <w:t xml:space="preserve"> </w:t>
            </w:r>
          </w:p>
          <w:p w14:paraId="23F4B390" w14:textId="77777777" w:rsidR="00486668" w:rsidRDefault="00486668" w:rsidP="00925CB0">
            <w:pPr>
              <w:rPr>
                <w:rFonts w:ascii="Stone Sans II ITC Com Bk" w:hAnsi="Stone Sans II ITC Com Bk"/>
              </w:rPr>
            </w:pPr>
          </w:p>
        </w:tc>
      </w:tr>
    </w:tbl>
    <w:p w14:paraId="3EB01C73" w14:textId="77777777" w:rsidR="00486668" w:rsidRDefault="00486668" w:rsidP="00925CB0">
      <w:pPr>
        <w:rPr>
          <w:rFonts w:ascii="Stone Sans II ITC Com Bk" w:hAnsi="Stone Sans II ITC Com Bk"/>
        </w:rPr>
      </w:pPr>
    </w:p>
    <w:p w14:paraId="014C3A26" w14:textId="3F727D4E" w:rsidR="00925CB0" w:rsidRPr="00925CB0" w:rsidRDefault="00D63893" w:rsidP="00925CB0">
      <w:pPr>
        <w:rPr>
          <w:rFonts w:ascii="Stone Sans II ITC Com Bk" w:hAnsi="Stone Sans II ITC Com Bk"/>
        </w:rPr>
      </w:pPr>
      <w:r>
        <w:rPr>
          <w:rFonts w:ascii="Stone Sans II ITC Com Bk" w:hAnsi="Stone Sans II ITC Com Bk"/>
        </w:rPr>
        <w:t xml:space="preserve">Ca. 3.249 Zeichen </w:t>
      </w:r>
    </w:p>
    <w:p w14:paraId="3AC7FAD9" w14:textId="371AB30D" w:rsidR="00BB0C59" w:rsidRDefault="00D05605" w:rsidP="00D05605">
      <w:pPr>
        <w:rPr>
          <w:rFonts w:ascii="Stone Sans II ITC Com Bk" w:hAnsi="Stone Sans II ITC Com Bk"/>
        </w:rPr>
      </w:pPr>
      <w:r>
        <w:rPr>
          <w:rFonts w:ascii="Stone Sans II ITC Com Bk" w:hAnsi="Stone Sans II ITC Com Bk"/>
        </w:rPr>
        <w:br/>
      </w:r>
      <w:r>
        <w:rPr>
          <w:rFonts w:ascii="Stone Sans II ITC Com Bk" w:hAnsi="Stone Sans II ITC Com Bk"/>
        </w:rPr>
        <w:br/>
      </w:r>
      <w:r w:rsidR="00DB71FB">
        <w:rPr>
          <w:rFonts w:ascii="Stone Sans II ITC Com Bk" w:hAnsi="Stone Sans II ITC Com Bk"/>
        </w:rPr>
        <w:t>Bildmaterial – Quelle ACO:</w:t>
      </w:r>
    </w:p>
    <w:p w14:paraId="3CCEA7E7" w14:textId="60106FA3" w:rsidR="00DB71FB" w:rsidRDefault="00DB71FB" w:rsidP="00DA469A">
      <w:pPr>
        <w:rPr>
          <w:rFonts w:ascii="Stone Sans II ITC Com Bk" w:hAnsi="Stone Sans II ITC Com Bk"/>
        </w:rPr>
      </w:pPr>
    </w:p>
    <w:p w14:paraId="07BF0534" w14:textId="77777777" w:rsidR="004970B1" w:rsidRDefault="004970B1" w:rsidP="004970B1">
      <w:pPr>
        <w:rPr>
          <w:rFonts w:ascii="Stone Sans II ITC Com Bk" w:hAnsi="Stone Sans II ITC Com Bk"/>
        </w:rPr>
      </w:pPr>
      <w:r w:rsidRPr="0065002B">
        <w:rPr>
          <w:rFonts w:ascii="Stone Sans II ITC Com Bk" w:hAnsi="Stone Sans II ITC Com Bk"/>
          <w:noProof/>
        </w:rPr>
        <w:drawing>
          <wp:inline distT="0" distB="0" distL="0" distR="0" wp14:anchorId="52C17CC2" wp14:editId="783ACBC6">
            <wp:extent cx="1341362" cy="2066307"/>
            <wp:effectExtent l="0" t="0" r="0" b="0"/>
            <wp:docPr id="439709078"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2460" cy="2083403"/>
                    </a:xfrm>
                    <a:prstGeom prst="rect">
                      <a:avLst/>
                    </a:prstGeom>
                    <a:noFill/>
                    <a:ln>
                      <a:noFill/>
                    </a:ln>
                  </pic:spPr>
                </pic:pic>
              </a:graphicData>
            </a:graphic>
          </wp:inline>
        </w:drawing>
      </w:r>
    </w:p>
    <w:p w14:paraId="46374E3E" w14:textId="77777777" w:rsidR="004970B1" w:rsidRDefault="004970B1" w:rsidP="004970B1">
      <w:pPr>
        <w:rPr>
          <w:rFonts w:ascii="Stone Sans II ITC Com Bk" w:hAnsi="Stone Sans II ITC Com Bk"/>
        </w:rPr>
      </w:pPr>
      <w:r>
        <w:rPr>
          <w:rFonts w:ascii="Stone Sans II ITC Com Bk" w:hAnsi="Stone Sans II ITC Com Bk"/>
        </w:rPr>
        <w:t xml:space="preserve">ACO Separationsstraßenablauf SSA </w:t>
      </w:r>
      <w:r w:rsidRPr="00D577F5">
        <w:rPr>
          <w:rFonts w:ascii="Stone Sans II ITC Com Bk" w:hAnsi="Stone Sans II ITC Com Bk"/>
        </w:rPr>
        <w:t>minimiert den Feststoffeintrag in das Kanalnetz</w:t>
      </w:r>
      <w:r>
        <w:rPr>
          <w:rFonts w:ascii="Stone Sans II ITC Com Bk" w:hAnsi="Stone Sans II ITC Com Bk"/>
        </w:rPr>
        <w:t xml:space="preserve">, </w:t>
      </w:r>
      <w:r w:rsidRPr="00D577F5">
        <w:rPr>
          <w:rFonts w:ascii="Stone Sans II ITC Com Bk" w:hAnsi="Stone Sans II ITC Com Bk"/>
        </w:rPr>
        <w:t xml:space="preserve">erfüllt die Vorgaben der DWA-A 102 und </w:t>
      </w:r>
      <w:r>
        <w:rPr>
          <w:rFonts w:ascii="Stone Sans II ITC Com Bk" w:hAnsi="Stone Sans II ITC Com Bk"/>
        </w:rPr>
        <w:t>besitzt die</w:t>
      </w:r>
      <w:r w:rsidRPr="00D577F5">
        <w:rPr>
          <w:rFonts w:ascii="Stone Sans II ITC Com Bk" w:hAnsi="Stone Sans II ITC Com Bk"/>
        </w:rPr>
        <w:t xml:space="preserve"> IKT-Prüfsiegel „gemäß Trennerlass NRW“</w:t>
      </w:r>
      <w:r>
        <w:rPr>
          <w:rFonts w:ascii="Stone Sans II ITC Com Bk" w:hAnsi="Stone Sans II ITC Com Bk"/>
        </w:rPr>
        <w:t xml:space="preserve">, </w:t>
      </w:r>
      <w:r w:rsidRPr="00D577F5">
        <w:rPr>
          <w:rFonts w:ascii="Stone Sans II ITC Com Bk" w:hAnsi="Stone Sans II ITC Com Bk"/>
        </w:rPr>
        <w:t>„AFS63-Rückhalt“ und „DWA-A 102 KAT. II für 400 m²“</w:t>
      </w:r>
      <w:r>
        <w:rPr>
          <w:rFonts w:ascii="Stone Sans II ITC Com Bk" w:hAnsi="Stone Sans II ITC Com Bk"/>
        </w:rPr>
        <w:t>.</w:t>
      </w:r>
    </w:p>
    <w:p w14:paraId="0F3D2A78" w14:textId="77777777" w:rsidR="0035497B" w:rsidRDefault="0035497B" w:rsidP="004970B1">
      <w:pPr>
        <w:rPr>
          <w:rFonts w:ascii="Stone Sans II ITC Com Bk" w:hAnsi="Stone Sans II ITC Com Bk"/>
        </w:rPr>
      </w:pPr>
    </w:p>
    <w:p w14:paraId="28ACDCD1" w14:textId="2DAD8A75" w:rsidR="002F527D" w:rsidRDefault="002F527D" w:rsidP="002F527D">
      <w:pPr>
        <w:rPr>
          <w:rFonts w:ascii="Stone Sans II ITC Com Bk" w:hAnsi="Stone Sans II ITC Com Bk"/>
        </w:rPr>
      </w:pPr>
      <w:r w:rsidRPr="002F527D">
        <w:rPr>
          <w:rFonts w:ascii="Stone Sans II ITC Com Bk" w:hAnsi="Stone Sans II ITC Com Bk"/>
        </w:rPr>
        <w:lastRenderedPageBreak/>
        <w:drawing>
          <wp:inline distT="0" distB="0" distL="0" distR="0" wp14:anchorId="7A3D9C94" wp14:editId="7661B3ED">
            <wp:extent cx="1329253" cy="2440379"/>
            <wp:effectExtent l="0" t="0" r="4445" b="0"/>
            <wp:docPr id="888915977" name="Grafik 2" descr="Ein Bild, das Werk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915977" name="Grafik 2" descr="Ein Bild, das Werkzeug enthält.&#10;&#10;KI-generierte Inhalte können fehlerhaft se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4580" cy="2486876"/>
                    </a:xfrm>
                    <a:prstGeom prst="rect">
                      <a:avLst/>
                    </a:prstGeom>
                    <a:noFill/>
                    <a:ln>
                      <a:noFill/>
                    </a:ln>
                  </pic:spPr>
                </pic:pic>
              </a:graphicData>
            </a:graphic>
          </wp:inline>
        </w:drawing>
      </w:r>
    </w:p>
    <w:p w14:paraId="778D8FD7" w14:textId="0EC18D8D" w:rsidR="0035497B" w:rsidRDefault="002F527D" w:rsidP="004970B1">
      <w:pPr>
        <w:rPr>
          <w:rFonts w:ascii="Stone Sans II ITC Com Bk" w:hAnsi="Stone Sans II ITC Com Bk"/>
        </w:rPr>
      </w:pPr>
      <w:r>
        <w:rPr>
          <w:rFonts w:ascii="Stone Sans II ITC Com Bk" w:hAnsi="Stone Sans II ITC Com Bk"/>
        </w:rPr>
        <w:t>ACO Schwammstadt Straßenablauf Combipoint</w:t>
      </w:r>
      <w:r w:rsidR="00DA402F">
        <w:rPr>
          <w:rFonts w:ascii="Stone Sans II ITC Com Bk" w:hAnsi="Stone Sans II ITC Com Bk"/>
        </w:rPr>
        <w:t xml:space="preserve"> zur Bewässerung von Stadtgrün und Bäumen</w:t>
      </w:r>
    </w:p>
    <w:p w14:paraId="79E670DD" w14:textId="77777777" w:rsidR="00726B5F" w:rsidRDefault="00726B5F" w:rsidP="00DA469A">
      <w:pPr>
        <w:rPr>
          <w:rFonts w:ascii="Stone Sans II ITC Com Bk" w:hAnsi="Stone Sans II ITC Com Bk"/>
        </w:rPr>
      </w:pPr>
    </w:p>
    <w:p w14:paraId="4CDD49EC" w14:textId="77777777" w:rsidR="004D0869" w:rsidRDefault="004D0869" w:rsidP="004D0869">
      <w:pPr>
        <w:rPr>
          <w:rFonts w:ascii="Stone Sans II ITC Com Bk" w:hAnsi="Stone Sans II ITC Com Bk"/>
        </w:rPr>
      </w:pPr>
    </w:p>
    <w:tbl>
      <w:tblPr>
        <w:tblStyle w:val="Tabellenraster"/>
        <w:tblW w:w="0" w:type="auto"/>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none" w:sz="0" w:space="0" w:color="auto"/>
          <w:insideV w:val="none" w:sz="0" w:space="0" w:color="auto"/>
        </w:tblBorders>
        <w:tblLook w:val="04A0" w:firstRow="1" w:lastRow="0" w:firstColumn="1" w:lastColumn="0" w:noHBand="0" w:noVBand="1"/>
      </w:tblPr>
      <w:tblGrid>
        <w:gridCol w:w="9062"/>
      </w:tblGrid>
      <w:tr w:rsidR="004D0869" w14:paraId="47BB0447" w14:textId="77777777" w:rsidTr="004D0869">
        <w:tc>
          <w:tcPr>
            <w:tcW w:w="9062" w:type="dxa"/>
          </w:tcPr>
          <w:p w14:paraId="2C6E975F" w14:textId="40FF6CEF" w:rsidR="004D0869" w:rsidRDefault="004D0869" w:rsidP="004D0869">
            <w:pPr>
              <w:rPr>
                <w:rFonts w:ascii="Stone Sans II ITC Com Lt" w:hAnsi="Stone Sans II ITC Com Lt"/>
                <w:iCs/>
                <w:sz w:val="20"/>
                <w:szCs w:val="20"/>
              </w:rPr>
            </w:pPr>
            <w:r w:rsidRPr="00BD54FA">
              <w:rPr>
                <w:rFonts w:ascii="Stone Sans II ITC Com Lt" w:hAnsi="Stone Sans II ITC Com Lt"/>
                <w:b/>
                <w:bCs/>
                <w:iCs/>
                <w:sz w:val="20"/>
                <w:szCs w:val="20"/>
              </w:rPr>
              <w:t>Die ACO GmbH</w:t>
            </w:r>
            <w:r>
              <w:rPr>
                <w:rFonts w:ascii="Stone Sans II ITC Com Lt" w:hAnsi="Stone Sans II ITC Com Lt"/>
                <w:iCs/>
                <w:sz w:val="20"/>
                <w:szCs w:val="20"/>
              </w:rPr>
              <w:br/>
            </w:r>
            <w:r w:rsidRPr="00472784">
              <w:rPr>
                <w:rFonts w:ascii="Stone Sans II ITC Com Lt" w:hAnsi="Stone Sans II ITC Com Lt"/>
                <w:iCs/>
                <w:sz w:val="20"/>
                <w:szCs w:val="20"/>
              </w:rPr>
              <w:t>Als Teil der weltweiten ACO Gruppe gehört die ACO GmbH zu den führenden Anbietern ganzheitlicher Systemlösungen rund um die klimaresiliente Freiraum-, Infrastruktur- und Gebäudeplanung. Der nachhaltige Umgang mit der wertvollen Ressource Wasser, verdeutlicht durch den Claim „ACO. we care for water“, steht im Mittelpunkt aller Unternehmensaktivitäten. Mit dem ACO WaterCycle bietet das Unternehmen ein breites Spektrum an Systemlösungen, um Oberflächenwasser oder Abwasser zu sammeln, aufzubereiten, zurückzuhalten und wieder zur Verfügung zu stellen. Darüber hinaus berät und unterstützt ein starkes Außen- und Innendienstteam alle Objektbeteiligten in jeder Projektphase.</w:t>
            </w:r>
          </w:p>
          <w:p w14:paraId="65534CED" w14:textId="0E545634" w:rsidR="004D0869" w:rsidRPr="004D0869" w:rsidRDefault="004D0869" w:rsidP="004D0869">
            <w:pPr>
              <w:rPr>
                <w:rFonts w:ascii="Stone Sans II ITC Com Lt" w:hAnsi="Stone Sans II ITC Com Lt"/>
                <w:iCs/>
                <w:sz w:val="20"/>
                <w:szCs w:val="20"/>
              </w:rPr>
            </w:pPr>
          </w:p>
        </w:tc>
      </w:tr>
    </w:tbl>
    <w:p w14:paraId="53D300CE" w14:textId="77777777" w:rsidR="004D0869" w:rsidRDefault="004D0869" w:rsidP="004D0869">
      <w:pPr>
        <w:rPr>
          <w:rFonts w:ascii="Stone Sans II ITC Com Bk" w:hAnsi="Stone Sans II ITC Com Bk"/>
        </w:rPr>
      </w:pPr>
    </w:p>
    <w:p w14:paraId="03CED72B" w14:textId="77777777" w:rsidR="004D0869" w:rsidRDefault="004D0869" w:rsidP="004D0869">
      <w:pPr>
        <w:spacing w:after="0"/>
        <w:textAlignment w:val="baseline"/>
        <w:rPr>
          <w:rFonts w:ascii="Stone Sans II ITC Com Lt" w:eastAsia="Times New Roman" w:hAnsi="Stone Sans II ITC Com Lt" w:cs="Arial"/>
          <w:sz w:val="20"/>
          <w:szCs w:val="24"/>
          <w:lang w:eastAsia="de-DE"/>
        </w:rPr>
      </w:pPr>
      <w:r>
        <w:rPr>
          <w:rFonts w:ascii="Stone Sans II ITC Com Lt" w:eastAsia="Times New Roman" w:hAnsi="Stone Sans II ITC Com Lt" w:cs="Arial"/>
          <w:sz w:val="20"/>
          <w:szCs w:val="24"/>
          <w:lang w:eastAsia="de-DE"/>
        </w:rPr>
        <w:t>Pressekontakt</w:t>
      </w:r>
      <w:r w:rsidRPr="000B433D">
        <w:rPr>
          <w:rFonts w:ascii="Stone Sans II ITC Com Lt" w:eastAsia="Times New Roman" w:hAnsi="Stone Sans II ITC Com Lt" w:cs="Arial"/>
          <w:sz w:val="20"/>
          <w:szCs w:val="24"/>
          <w:lang w:eastAsia="de-DE"/>
        </w:rPr>
        <w:t>:</w:t>
      </w:r>
    </w:p>
    <w:p w14:paraId="312144BE" w14:textId="77777777" w:rsidR="004D0869" w:rsidRPr="000B433D" w:rsidRDefault="004D0869" w:rsidP="004D0869">
      <w:pPr>
        <w:spacing w:after="0"/>
        <w:textAlignment w:val="baseline"/>
        <w:rPr>
          <w:rFonts w:ascii="Stone Sans II ITC Com Lt" w:eastAsia="Times New Roman" w:hAnsi="Stone Sans II ITC Com Lt" w:cs="Arial"/>
          <w:sz w:val="20"/>
          <w:szCs w:val="24"/>
          <w:lang w:eastAsia="de-DE"/>
        </w:rPr>
      </w:pPr>
      <w:r>
        <w:rPr>
          <w:rFonts w:ascii="Stone Sans II ITC Com Lt" w:eastAsia="Times New Roman" w:hAnsi="Stone Sans II ITC Com Lt" w:cs="Arial"/>
          <w:sz w:val="20"/>
          <w:szCs w:val="24"/>
          <w:lang w:eastAsia="de-DE"/>
        </w:rPr>
        <w:t>ACO GmbH</w:t>
      </w:r>
    </w:p>
    <w:p w14:paraId="645708BC" w14:textId="77777777" w:rsidR="004D0869" w:rsidRPr="00CB1D67" w:rsidRDefault="004D0869" w:rsidP="004D0869">
      <w:pPr>
        <w:rPr>
          <w:rStyle w:val="Hyperlink"/>
          <w:rFonts w:ascii="Stone Sans II ITC Com Lt" w:hAnsi="Stone Sans II ITC Com Lt" w:cs="Arial"/>
          <w:color w:val="000000" w:themeColor="text1"/>
          <w:sz w:val="20"/>
          <w:lang w:val="en-US"/>
        </w:rPr>
      </w:pPr>
      <w:r w:rsidRPr="00D9042E">
        <w:rPr>
          <w:rFonts w:ascii="Stone Sans II ITC Com Lt" w:hAnsi="Stone Sans II ITC Com Lt" w:cs="Arial"/>
          <w:b/>
          <w:bCs/>
          <w:color w:val="000000" w:themeColor="text1"/>
          <w:sz w:val="20"/>
          <w:lang w:val="en-US"/>
        </w:rPr>
        <w:t xml:space="preserve">Tanja Holst </w:t>
      </w:r>
      <w:r w:rsidRPr="00D9042E">
        <w:rPr>
          <w:rFonts w:ascii="Stone Sans II ITC Com Lt" w:hAnsi="Stone Sans II ITC Com Lt" w:cs="Arial"/>
          <w:b/>
          <w:bCs/>
          <w:color w:val="000000" w:themeColor="text1"/>
          <w:sz w:val="20"/>
          <w:lang w:val="en-US"/>
        </w:rPr>
        <w:br/>
      </w:r>
      <w:r>
        <w:rPr>
          <w:rFonts w:ascii="Stone Sans II ITC Com Lt" w:hAnsi="Stone Sans II ITC Com Lt" w:cs="Arial"/>
          <w:color w:val="000000" w:themeColor="text1"/>
          <w:sz w:val="20"/>
          <w:lang w:val="en-US"/>
        </w:rPr>
        <w:t>Public Relations - Fachpresse</w:t>
      </w:r>
      <w:r>
        <w:rPr>
          <w:rFonts w:ascii="Stone Sans II ITC Com Lt" w:hAnsi="Stone Sans II ITC Com Lt" w:cs="Arial"/>
          <w:color w:val="000000"/>
          <w:sz w:val="20"/>
          <w:shd w:val="clear" w:color="auto" w:fill="FFFFFF"/>
          <w:lang w:val="en-US"/>
        </w:rPr>
        <w:br/>
      </w:r>
      <w:r w:rsidRPr="006E02FD">
        <w:rPr>
          <w:rFonts w:ascii="Stone Sans II ITC Com Lt" w:hAnsi="Stone Sans II ITC Com Lt" w:cs="Arial"/>
          <w:color w:val="000000"/>
          <w:sz w:val="20"/>
          <w:shd w:val="clear" w:color="auto" w:fill="FFFFFF"/>
          <w:lang w:val="en-US"/>
        </w:rPr>
        <w:t>T</w:t>
      </w:r>
      <w:r w:rsidRPr="006E02FD">
        <w:rPr>
          <w:rFonts w:ascii="Stone Sans II ITC Com Lt" w:hAnsi="Stone Sans II ITC Com Lt" w:cs="Arial"/>
          <w:color w:val="000000" w:themeColor="text1"/>
          <w:sz w:val="20"/>
          <w:shd w:val="clear" w:color="auto" w:fill="FFFFFF"/>
          <w:lang w:val="en-US"/>
        </w:rPr>
        <w:t>el.: </w:t>
      </w:r>
      <w:hyperlink r:id="rId15" w:history="1">
        <w:r w:rsidRPr="006E02FD">
          <w:rPr>
            <w:rStyle w:val="Hyperlink"/>
            <w:rFonts w:ascii="Stone Sans II ITC Com Lt" w:hAnsi="Stone Sans II ITC Com Lt" w:cs="Arial"/>
            <w:color w:val="000000" w:themeColor="text1"/>
            <w:sz w:val="20"/>
            <w:shd w:val="clear" w:color="auto" w:fill="FFFFFF"/>
            <w:lang w:val="en-US"/>
          </w:rPr>
          <w:t xml:space="preserve">+49 4331 354 </w:t>
        </w:r>
      </w:hyperlink>
      <w:r w:rsidRPr="006E02FD">
        <w:rPr>
          <w:rStyle w:val="Hyperlink"/>
          <w:rFonts w:ascii="Stone Sans II ITC Com Lt" w:hAnsi="Stone Sans II ITC Com Lt" w:cs="Arial"/>
          <w:color w:val="000000" w:themeColor="text1"/>
          <w:sz w:val="20"/>
          <w:shd w:val="clear" w:color="auto" w:fill="FFFFFF"/>
          <w:lang w:val="en-US"/>
        </w:rPr>
        <w:t>197</w:t>
      </w:r>
      <w:r w:rsidRPr="006E02FD">
        <w:rPr>
          <w:rStyle w:val="Hyperlink"/>
          <w:rFonts w:ascii="Stone Sans II ITC Com Lt" w:hAnsi="Stone Sans II ITC Com Lt" w:cs="Arial"/>
          <w:color w:val="000000" w:themeColor="text1"/>
          <w:sz w:val="20"/>
          <w:shd w:val="clear" w:color="auto" w:fill="FFFFFF"/>
          <w:lang w:val="en-US"/>
        </w:rPr>
        <w:br/>
        <w:t>Mobil: +49 151 64738331</w:t>
      </w:r>
      <w:r w:rsidRPr="006E02FD">
        <w:rPr>
          <w:rFonts w:ascii="Stone Sans II ITC Com Lt" w:hAnsi="Stone Sans II ITC Com Lt" w:cs="Arial"/>
          <w:color w:val="000000"/>
          <w:sz w:val="17"/>
          <w:szCs w:val="17"/>
          <w:lang w:val="en-US" w:eastAsia="de-DE"/>
        </w:rPr>
        <w:t xml:space="preserve"> </w:t>
      </w:r>
      <w:r w:rsidRPr="006E02FD">
        <w:rPr>
          <w:rFonts w:ascii="Stone Sans II ITC Com Lt" w:hAnsi="Stone Sans II ITC Com Lt" w:cs="Arial"/>
          <w:color w:val="000000"/>
          <w:sz w:val="17"/>
          <w:szCs w:val="17"/>
          <w:lang w:val="en-US" w:eastAsia="de-DE"/>
        </w:rPr>
        <w:br/>
      </w:r>
      <w:r w:rsidRPr="006E02FD">
        <w:rPr>
          <w:rFonts w:ascii="Stone Sans II ITC Com Lt" w:hAnsi="Stone Sans II ITC Com Lt" w:cs="Arial"/>
          <w:color w:val="000000" w:themeColor="text1"/>
          <w:sz w:val="20"/>
          <w:shd w:val="clear" w:color="auto" w:fill="FFFFFF"/>
          <w:lang w:val="en-US"/>
        </w:rPr>
        <w:t>E-Mail: </w:t>
      </w:r>
      <w:hyperlink r:id="rId16" w:history="1">
        <w:r w:rsidRPr="006E02FD">
          <w:rPr>
            <w:rStyle w:val="Hyperlink"/>
            <w:rFonts w:ascii="Stone Sans II ITC Com Lt" w:hAnsi="Stone Sans II ITC Com Lt" w:cs="Arial"/>
            <w:sz w:val="20"/>
            <w:shd w:val="clear" w:color="auto" w:fill="FFFFFF"/>
            <w:lang w:val="en-US"/>
          </w:rPr>
          <w:t>tanja.holst@aco.com</w:t>
        </w:r>
      </w:hyperlink>
    </w:p>
    <w:p w14:paraId="454F0710" w14:textId="77777777" w:rsidR="004D0869" w:rsidRPr="004D0869" w:rsidRDefault="004D0869" w:rsidP="004D0869">
      <w:pPr>
        <w:rPr>
          <w:rFonts w:ascii="Stone Sans II ITC Com Bk" w:hAnsi="Stone Sans II ITC Com Bk"/>
        </w:rPr>
      </w:pPr>
    </w:p>
    <w:sectPr w:rsidR="004D0869" w:rsidRPr="004D0869">
      <w:foot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97F131" w14:textId="77777777" w:rsidR="00127640" w:rsidRDefault="00127640" w:rsidP="004D0869">
      <w:pPr>
        <w:spacing w:after="0" w:line="240" w:lineRule="auto"/>
      </w:pPr>
      <w:r>
        <w:separator/>
      </w:r>
    </w:p>
  </w:endnote>
  <w:endnote w:type="continuationSeparator" w:id="0">
    <w:p w14:paraId="5B8D872F" w14:textId="77777777" w:rsidR="00127640" w:rsidRDefault="00127640" w:rsidP="004D0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tone Sans II ITC Com Bk">
    <w:panose1 w:val="020B0502040503020204"/>
    <w:charset w:val="00"/>
    <w:family w:val="swiss"/>
    <w:pitch w:val="variable"/>
    <w:sig w:usb0="A00000AF" w:usb1="5000205B" w:usb2="00000000" w:usb3="00000000" w:csb0="0000009B"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sGothic,Bold">
    <w:panose1 w:val="00000000000000000000"/>
    <w:charset w:val="00"/>
    <w:family w:val="auto"/>
    <w:notTrueType/>
    <w:pitch w:val="default"/>
    <w:sig w:usb0="00000003" w:usb1="00000000" w:usb2="00000000" w:usb3="00000000" w:csb0="00000001" w:csb1="00000000"/>
  </w:font>
  <w:font w:name="Stone Sans II ITC Com Lt">
    <w:altName w:val="Stone Sans II ITC Com Lt"/>
    <w:panose1 w:val="020B0302040503020204"/>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Stone Sans II ITC Com Lt Cn">
    <w:panose1 w:val="020B0306040503020204"/>
    <w:charset w:val="00"/>
    <w:family w:val="swiss"/>
    <w:pitch w:val="variable"/>
    <w:sig w:usb0="A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493EE" w14:textId="5718188A" w:rsidR="004D0869" w:rsidRDefault="004D0869">
    <w:pPr>
      <w:pStyle w:val="Fuzeile"/>
    </w:pPr>
    <w:r>
      <w:rPr>
        <w:noProof/>
        <w:lang w:eastAsia="de-DE"/>
      </w:rPr>
      <w:drawing>
        <wp:anchor distT="0" distB="0" distL="114300" distR="114300" simplePos="0" relativeHeight="251658244" behindDoc="0" locked="0" layoutInCell="1" allowOverlap="1" wp14:anchorId="52723A34" wp14:editId="720E3FF4">
          <wp:simplePos x="0" y="0"/>
          <wp:positionH relativeFrom="column">
            <wp:posOffset>1510030</wp:posOffset>
          </wp:positionH>
          <wp:positionV relativeFrom="paragraph">
            <wp:posOffset>5715</wp:posOffset>
          </wp:positionV>
          <wp:extent cx="251460" cy="251460"/>
          <wp:effectExtent l="0" t="0" r="0" b="0"/>
          <wp:wrapNone/>
          <wp:docPr id="4" name="Grafik 4" descr="Ein Bild, das Symbol, Logo, Schrift, Grafiken enthält.&#10;&#10;Automatisch generierte Beschreib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Symbol, Logo, Schrift, Grafiken enthält.&#10;&#10;Automatisch generierte Beschreibung">
                    <a:hlinkClick r:id="rId1"/>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58242" behindDoc="1" locked="0" layoutInCell="1" allowOverlap="1" wp14:anchorId="5F1FDB19" wp14:editId="1F0010F9">
          <wp:simplePos x="0" y="0"/>
          <wp:positionH relativeFrom="column">
            <wp:posOffset>757555</wp:posOffset>
          </wp:positionH>
          <wp:positionV relativeFrom="paragraph">
            <wp:posOffset>5716</wp:posOffset>
          </wp:positionV>
          <wp:extent cx="228915" cy="251460"/>
          <wp:effectExtent l="0" t="0" r="0" b="0"/>
          <wp:wrapNone/>
          <wp:docPr id="6" name="Grafik 6" descr="Ein Bild, das Logo, Text, Symbol, rot enthält.&#10;&#10;Automatisch generierte Beschreibu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Logo, Text, Symbol, rot enthält.&#10;&#10;Automatisch generierte Beschreibung">
                    <a:hlinkClick r:id="rId3"/>
                  </pic:cNvPr>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2495" cy="255393"/>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58243" behindDoc="0" locked="0" layoutInCell="1" allowOverlap="1" wp14:anchorId="7609D443" wp14:editId="127081EF">
          <wp:simplePos x="0" y="0"/>
          <wp:positionH relativeFrom="column">
            <wp:posOffset>1148080</wp:posOffset>
          </wp:positionH>
          <wp:positionV relativeFrom="paragraph">
            <wp:posOffset>5715</wp:posOffset>
          </wp:positionV>
          <wp:extent cx="251460" cy="251460"/>
          <wp:effectExtent l="0" t="0" r="0" b="0"/>
          <wp:wrapNone/>
          <wp:docPr id="5" name="Grafik 5" descr="Ein Bild, das Symbol, rot, Grafiken, Kreis enthält.&#10;&#10;Automatisch generierte Beschreibu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Symbol, rot, Grafiken, Kreis enthält.&#10;&#10;Automatisch generierte Beschreibung">
                    <a:hlinkClick r:id="rId5"/>
                  </pic:cNvPr>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Pr>
        <w:rFonts w:ascii="Stone Sans II ITC Com Lt Cn" w:hAnsi="Stone Sans II ITC Com Lt Cn"/>
        <w:noProof/>
        <w:color w:val="BFBFBF"/>
        <w:sz w:val="18"/>
        <w:szCs w:val="18"/>
        <w:lang w:eastAsia="de-DE"/>
      </w:rPr>
      <w:drawing>
        <wp:anchor distT="0" distB="0" distL="114300" distR="114300" simplePos="0" relativeHeight="251658240" behindDoc="1" locked="0" layoutInCell="1" allowOverlap="1" wp14:anchorId="3F87D2A5" wp14:editId="7E0634EB">
          <wp:simplePos x="0" y="0"/>
          <wp:positionH relativeFrom="margin">
            <wp:posOffset>19050</wp:posOffset>
          </wp:positionH>
          <wp:positionV relativeFrom="paragraph">
            <wp:posOffset>9525</wp:posOffset>
          </wp:positionV>
          <wp:extent cx="252000" cy="252000"/>
          <wp:effectExtent l="0" t="0" r="0" b="0"/>
          <wp:wrapTight wrapText="bothSides">
            <wp:wrapPolygon edited="0">
              <wp:start x="0" y="0"/>
              <wp:lineTo x="0" y="19636"/>
              <wp:lineTo x="19636" y="19636"/>
              <wp:lineTo x="19636" y="0"/>
              <wp:lineTo x="0" y="0"/>
            </wp:wrapPolygon>
          </wp:wrapTight>
          <wp:docPr id="8" name="Grafik 8" descr="Ein Bild, das Symbol, Logo, rot, Schrift enthält.&#10;&#10;Automatisch generierte Beschreibu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Symbol, Logo, rot, Schrift enthält.&#10;&#10;Automatisch generierte Beschreibung">
                    <a:hlinkClick r:id="rId7"/>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58241" behindDoc="0" locked="0" layoutInCell="1" allowOverlap="1" wp14:anchorId="45DAED9D" wp14:editId="57755639">
          <wp:simplePos x="0" y="0"/>
          <wp:positionH relativeFrom="column">
            <wp:posOffset>381000</wp:posOffset>
          </wp:positionH>
          <wp:positionV relativeFrom="paragraph">
            <wp:posOffset>9525</wp:posOffset>
          </wp:positionV>
          <wp:extent cx="251460" cy="251460"/>
          <wp:effectExtent l="0" t="0" r="0" b="0"/>
          <wp:wrapThrough wrapText="bothSides">
            <wp:wrapPolygon edited="0">
              <wp:start x="0" y="0"/>
              <wp:lineTo x="0" y="19636"/>
              <wp:lineTo x="19636" y="19636"/>
              <wp:lineTo x="19636" y="0"/>
              <wp:lineTo x="0" y="0"/>
            </wp:wrapPolygon>
          </wp:wrapThrough>
          <wp:docPr id="7" name="Grafik 7" descr="Ein Bild, das Logo, Text, Symbol, Schrift enthält.&#10;&#10;Automatisch generierte Beschreibu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Logo, Text, Symbol, Schrift enthält.&#10;&#10;Automatisch generierte Beschreibung">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Pr>
        <w:rFonts w:ascii="Stone Sans II ITC Com Lt Cn" w:hAnsi="Stone Sans II ITC Com Lt Cn"/>
        <w:noProof/>
        <w:color w:val="BFBFBF"/>
        <w:sz w:val="18"/>
        <w:szCs w:val="18"/>
        <w:lang w:eastAsia="de-D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4644B4" w14:textId="77777777" w:rsidR="00127640" w:rsidRDefault="00127640" w:rsidP="004D0869">
      <w:pPr>
        <w:spacing w:after="0" w:line="240" w:lineRule="auto"/>
      </w:pPr>
      <w:r>
        <w:separator/>
      </w:r>
    </w:p>
  </w:footnote>
  <w:footnote w:type="continuationSeparator" w:id="0">
    <w:p w14:paraId="0856611D" w14:textId="77777777" w:rsidR="00127640" w:rsidRDefault="00127640" w:rsidP="004D08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BA4466"/>
    <w:multiLevelType w:val="hybridMultilevel"/>
    <w:tmpl w:val="CB121502"/>
    <w:lvl w:ilvl="0" w:tplc="37844ECE">
      <w:numFmt w:val="bullet"/>
      <w:lvlText w:val="-"/>
      <w:lvlJc w:val="left"/>
      <w:pPr>
        <w:ind w:left="720" w:hanging="360"/>
      </w:pPr>
      <w:rPr>
        <w:rFonts w:ascii="Stone Sans II ITC Com Bk" w:eastAsiaTheme="minorHAnsi" w:hAnsi="Stone Sans II ITC Com Bk"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AFB24FC"/>
    <w:multiLevelType w:val="multilevel"/>
    <w:tmpl w:val="2E584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8552527"/>
    <w:multiLevelType w:val="multilevel"/>
    <w:tmpl w:val="FEB4E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5978310">
    <w:abstractNumId w:val="1"/>
  </w:num>
  <w:num w:numId="2" w16cid:durableId="796752753">
    <w:abstractNumId w:val="2"/>
  </w:num>
  <w:num w:numId="3" w16cid:durableId="8913850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869"/>
    <w:rsid w:val="000408D8"/>
    <w:rsid w:val="000F232F"/>
    <w:rsid w:val="001020BC"/>
    <w:rsid w:val="0012617C"/>
    <w:rsid w:val="00127640"/>
    <w:rsid w:val="00127A97"/>
    <w:rsid w:val="00171D00"/>
    <w:rsid w:val="001C2FCC"/>
    <w:rsid w:val="001F7E89"/>
    <w:rsid w:val="00231C3F"/>
    <w:rsid w:val="002F527D"/>
    <w:rsid w:val="002F5509"/>
    <w:rsid w:val="003256E2"/>
    <w:rsid w:val="0035497B"/>
    <w:rsid w:val="00441A49"/>
    <w:rsid w:val="00480F18"/>
    <w:rsid w:val="00486668"/>
    <w:rsid w:val="004970B1"/>
    <w:rsid w:val="004B1116"/>
    <w:rsid w:val="004C5210"/>
    <w:rsid w:val="004D0869"/>
    <w:rsid w:val="004D1D3E"/>
    <w:rsid w:val="00507C42"/>
    <w:rsid w:val="00533541"/>
    <w:rsid w:val="006A7D65"/>
    <w:rsid w:val="00726B5F"/>
    <w:rsid w:val="007419B0"/>
    <w:rsid w:val="00787734"/>
    <w:rsid w:val="0082407B"/>
    <w:rsid w:val="00880CB8"/>
    <w:rsid w:val="008D2731"/>
    <w:rsid w:val="00925CB0"/>
    <w:rsid w:val="009411C2"/>
    <w:rsid w:val="00993B63"/>
    <w:rsid w:val="009A1ED3"/>
    <w:rsid w:val="009D1227"/>
    <w:rsid w:val="009E2749"/>
    <w:rsid w:val="00B117DE"/>
    <w:rsid w:val="00B15B48"/>
    <w:rsid w:val="00B76CED"/>
    <w:rsid w:val="00BB0C59"/>
    <w:rsid w:val="00C479E0"/>
    <w:rsid w:val="00C91687"/>
    <w:rsid w:val="00CD41D3"/>
    <w:rsid w:val="00D05605"/>
    <w:rsid w:val="00D54F1A"/>
    <w:rsid w:val="00D63893"/>
    <w:rsid w:val="00DA402F"/>
    <w:rsid w:val="00DA469A"/>
    <w:rsid w:val="00DB71FB"/>
    <w:rsid w:val="00DB73CA"/>
    <w:rsid w:val="00E722E3"/>
    <w:rsid w:val="00F45D7C"/>
    <w:rsid w:val="00FF377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78F9D"/>
  <w15:chartTrackingRefBased/>
  <w15:docId w15:val="{5B5BD678-1B6F-4CDC-B473-8BD9394ED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4D0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4D0869"/>
    <w:rPr>
      <w:color w:val="0563C1" w:themeColor="hyperlink"/>
      <w:u w:val="single"/>
    </w:rPr>
  </w:style>
  <w:style w:type="paragraph" w:styleId="Kopfzeile">
    <w:name w:val="header"/>
    <w:basedOn w:val="Standard"/>
    <w:link w:val="KopfzeileZchn"/>
    <w:uiPriority w:val="99"/>
    <w:unhideWhenUsed/>
    <w:rsid w:val="004D086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D0869"/>
  </w:style>
  <w:style w:type="paragraph" w:styleId="Fuzeile">
    <w:name w:val="footer"/>
    <w:basedOn w:val="Standard"/>
    <w:link w:val="FuzeileZchn"/>
    <w:uiPriority w:val="99"/>
    <w:unhideWhenUsed/>
    <w:rsid w:val="004D086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D0869"/>
  </w:style>
  <w:style w:type="paragraph" w:styleId="Listenabsatz">
    <w:name w:val="List Paragraph"/>
    <w:basedOn w:val="Standard"/>
    <w:uiPriority w:val="34"/>
    <w:qFormat/>
    <w:rsid w:val="001C2FCC"/>
    <w:pPr>
      <w:ind w:left="720"/>
      <w:contextualSpacing/>
    </w:pPr>
  </w:style>
  <w:style w:type="character" w:styleId="BesuchterLink">
    <w:name w:val="FollowedHyperlink"/>
    <w:basedOn w:val="Absatz-Standardschriftart"/>
    <w:uiPriority w:val="99"/>
    <w:semiHidden/>
    <w:unhideWhenUsed/>
    <w:rsid w:val="00BB0C59"/>
    <w:rPr>
      <w:color w:val="954F72" w:themeColor="followedHyperlink"/>
      <w:u w:val="single"/>
    </w:rPr>
  </w:style>
  <w:style w:type="character" w:styleId="NichtaufgelsteErwhnung">
    <w:name w:val="Unresolved Mention"/>
    <w:basedOn w:val="Absatz-Standardschriftart"/>
    <w:uiPriority w:val="99"/>
    <w:semiHidden/>
    <w:unhideWhenUsed/>
    <w:rsid w:val="00BB0C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1651350">
      <w:bodyDiv w:val="1"/>
      <w:marLeft w:val="0"/>
      <w:marRight w:val="0"/>
      <w:marTop w:val="0"/>
      <w:marBottom w:val="0"/>
      <w:divBdr>
        <w:top w:val="none" w:sz="0" w:space="0" w:color="auto"/>
        <w:left w:val="none" w:sz="0" w:space="0" w:color="auto"/>
        <w:bottom w:val="none" w:sz="0" w:space="0" w:color="auto"/>
        <w:right w:val="none" w:sz="0" w:space="0" w:color="auto"/>
      </w:divBdr>
    </w:div>
    <w:div w:id="1938100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aco.de/aco-projectmanager"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tanja.holst@aco.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co.de/green-city" TargetMode="External"/><Relationship Id="rId5" Type="http://schemas.openxmlformats.org/officeDocument/2006/relationships/styles" Target="styles.xml"/><Relationship Id="rId15" Type="http://schemas.openxmlformats.org/officeDocument/2006/relationships/hyperlink" Target="tel:+494331354174"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hyperlink" Target="https://www.youtube.com/user/ACO" TargetMode="External"/><Relationship Id="rId7" Type="http://schemas.openxmlformats.org/officeDocument/2006/relationships/hyperlink" Target="https://www.facebook.com/aco.gmbh/" TargetMode="External"/><Relationship Id="rId2" Type="http://schemas.openxmlformats.org/officeDocument/2006/relationships/image" Target="media/image4.jpeg"/><Relationship Id="rId1" Type="http://schemas.openxmlformats.org/officeDocument/2006/relationships/hyperlink" Target="https://www.pinterest.de/aco_group/" TargetMode="External"/><Relationship Id="rId6" Type="http://schemas.openxmlformats.org/officeDocument/2006/relationships/image" Target="media/image6.jpeg"/><Relationship Id="rId5" Type="http://schemas.openxmlformats.org/officeDocument/2006/relationships/hyperlink" Target="https://www.instagram.com/aco_gmbh/" TargetMode="External"/><Relationship Id="rId10" Type="http://schemas.openxmlformats.org/officeDocument/2006/relationships/image" Target="media/image8.jpeg"/><Relationship Id="rId4" Type="http://schemas.openxmlformats.org/officeDocument/2006/relationships/image" Target="media/image5.jpeg"/><Relationship Id="rId9" Type="http://schemas.openxmlformats.org/officeDocument/2006/relationships/hyperlink" Target="https://www.linkedin.com/company/9254055/"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02c2ba9-0821-44b8-bce8-78036e4dc9b1">
      <Terms xmlns="http://schemas.microsoft.com/office/infopath/2007/PartnerControls"/>
    </lcf76f155ced4ddcb4097134ff3c332f>
    <TaxCatchAll xmlns="c2a3673c-1a77-400d-9cd5-c0ea6828ea9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8DDD36305749DF438436132E560B35AF" ma:contentTypeVersion="16" ma:contentTypeDescription="Ein neues Dokument erstellen." ma:contentTypeScope="" ma:versionID="0091e01bc578d348cc09bb86a3a34493">
  <xsd:schema xmlns:xsd="http://www.w3.org/2001/XMLSchema" xmlns:xs="http://www.w3.org/2001/XMLSchema" xmlns:p="http://schemas.microsoft.com/office/2006/metadata/properties" xmlns:ns2="302c2ba9-0821-44b8-bce8-78036e4dc9b1" xmlns:ns3="c2a3673c-1a77-400d-9cd5-c0ea6828ea9c" targetNamespace="http://schemas.microsoft.com/office/2006/metadata/properties" ma:root="true" ma:fieldsID="98eeac6d1501a6cf3286876c60a3c5cc" ns2:_="" ns3:_="">
    <xsd:import namespace="302c2ba9-0821-44b8-bce8-78036e4dc9b1"/>
    <xsd:import namespace="c2a3673c-1a77-400d-9cd5-c0ea6828ea9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ObjectDetectorVersions" minOccurs="0"/>
                <xsd:element ref="ns2:MediaServiceLocation"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2c2ba9-0821-44b8-bce8-78036e4dc9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5da4b1dc-eab0-4e19-a590-38a703476e0a"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a3673c-1a77-400d-9cd5-c0ea6828ea9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91cd277-1a1b-4123-bd99-8e944b4dd903}" ma:internalName="TaxCatchAll" ma:showField="CatchAllData" ma:web="c2a3673c-1a77-400d-9cd5-c0ea6828ea9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13A2BE-75BA-4EC7-9E66-4A01B67280B3}">
  <ds:schemaRefs>
    <ds:schemaRef ds:uri="http://schemas.microsoft.com/office/2006/metadata/properties"/>
    <ds:schemaRef ds:uri="http://schemas.microsoft.com/office/infopath/2007/PartnerControls"/>
    <ds:schemaRef ds:uri="302c2ba9-0821-44b8-bce8-78036e4dc9b1"/>
    <ds:schemaRef ds:uri="c2a3673c-1a77-400d-9cd5-c0ea6828ea9c"/>
  </ds:schemaRefs>
</ds:datastoreItem>
</file>

<file path=customXml/itemProps2.xml><?xml version="1.0" encoding="utf-8"?>
<ds:datastoreItem xmlns:ds="http://schemas.openxmlformats.org/officeDocument/2006/customXml" ds:itemID="{11A4C93B-44EF-4980-B3F6-AC98B8CFBF31}">
  <ds:schemaRefs>
    <ds:schemaRef ds:uri="http://schemas.microsoft.com/sharepoint/v3/contenttype/forms"/>
  </ds:schemaRefs>
</ds:datastoreItem>
</file>

<file path=customXml/itemProps3.xml><?xml version="1.0" encoding="utf-8"?>
<ds:datastoreItem xmlns:ds="http://schemas.openxmlformats.org/officeDocument/2006/customXml" ds:itemID="{E2C75DBE-AF3B-4DC2-884B-67E950B0CD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2c2ba9-0821-44b8-bce8-78036e4dc9b1"/>
    <ds:schemaRef ds:uri="c2a3673c-1a77-400d-9cd5-c0ea6828ea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641</Words>
  <Characters>4041</Characters>
  <Application>Microsoft Office Word</Application>
  <DocSecurity>0</DocSecurity>
  <Lines>33</Lines>
  <Paragraphs>9</Paragraphs>
  <ScaleCrop>false</ScaleCrop>
  <Company/>
  <LinksUpToDate>false</LinksUpToDate>
  <CharactersWithSpaces>4673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Holst, Tanja</dc:creator>
  <cp:keywords/>
  <dc:description/>
  <cp:lastModifiedBy>Holst, Tanja</cp:lastModifiedBy>
  <cp:revision>47</cp:revision>
  <dcterms:created xsi:type="dcterms:W3CDTF">2024-04-14T12:03:00Z</dcterms:created>
  <dcterms:modified xsi:type="dcterms:W3CDTF">2026-01-11T19:44:00Z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02c3a69-5bb1-4896-a591-f45b96dda59d_Enabled">
    <vt:lpwstr>true</vt:lpwstr>
  </property>
  <property fmtid="{D5CDD505-2E9C-101B-9397-08002B2CF9AE}" pid="3" name="MSIP_Label_a02c3a69-5bb1-4896-a591-f45b96dda59d_SetDate">
    <vt:lpwstr>2024-04-14T12:09:26Z</vt:lpwstr>
  </property>
  <property fmtid="{D5CDD505-2E9C-101B-9397-08002B2CF9AE}" pid="4" name="MSIP_Label_a02c3a69-5bb1-4896-a591-f45b96dda59d_Method">
    <vt:lpwstr>Standard</vt:lpwstr>
  </property>
  <property fmtid="{D5CDD505-2E9C-101B-9397-08002B2CF9AE}" pid="5" name="MSIP_Label_a02c3a69-5bb1-4896-a591-f45b96dda59d_Name">
    <vt:lpwstr>Public</vt:lpwstr>
  </property>
  <property fmtid="{D5CDD505-2E9C-101B-9397-08002B2CF9AE}" pid="6" name="MSIP_Label_a02c3a69-5bb1-4896-a591-f45b96dda59d_SiteId">
    <vt:lpwstr>b53f6739-82d2-42c3-8e8d-458bdd89805b</vt:lpwstr>
  </property>
  <property fmtid="{D5CDD505-2E9C-101B-9397-08002B2CF9AE}" pid="7" name="MSIP_Label_a02c3a69-5bb1-4896-a591-f45b96dda59d_ActionId">
    <vt:lpwstr>78a95a13-6b63-4f80-8403-383cfc2eea3e</vt:lpwstr>
  </property>
  <property fmtid="{D5CDD505-2E9C-101B-9397-08002B2CF9AE}" pid="8" name="MSIP_Label_a02c3a69-5bb1-4896-a591-f45b96dda59d_ContentBits">
    <vt:lpwstr>0</vt:lpwstr>
  </property>
  <property fmtid="{D5CDD505-2E9C-101B-9397-08002B2CF9AE}" pid="9" name="ContentTypeId">
    <vt:lpwstr>0x0101008DDD36305749DF438436132E560B35AF</vt:lpwstr>
  </property>
  <property fmtid="{D5CDD505-2E9C-101B-9397-08002B2CF9AE}" pid="10" name="docLang">
    <vt:lpwstr>de</vt:lpwstr>
  </property>
  <property fmtid="{D5CDD505-2E9C-101B-9397-08002B2CF9AE}" pid="11" name="MediaServiceImageTags">
    <vt:lpwstr/>
  </property>
</Properties>
</file>