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A3A20" w14:textId="77777777" w:rsidR="004D0869" w:rsidRPr="004D0869" w:rsidRDefault="004D0869">
      <w:pPr>
        <w:rPr>
          <w:rFonts w:ascii="Stone Sans II ITC Com Bk" w:hAnsi="Stone Sans II ITC Com Bk"/>
        </w:rPr>
      </w:pPr>
    </w:p>
    <w:p w14:paraId="13FB6A62" w14:textId="77777777" w:rsidR="004D0869" w:rsidRPr="004D0869" w:rsidRDefault="004D0869">
      <w:pPr>
        <w:rPr>
          <w:rFonts w:ascii="Stone Sans II ITC Com Bk" w:hAnsi="Stone Sans II ITC Com Bk"/>
        </w:rPr>
      </w:pPr>
    </w:p>
    <w:p w14:paraId="6BE39954" w14:textId="77777777" w:rsidR="004D0869" w:rsidRPr="004D0869" w:rsidRDefault="004D0869">
      <w:pPr>
        <w:rPr>
          <w:rFonts w:ascii="Stone Sans II ITC Com Bk" w:hAnsi="Stone Sans II ITC Com Bk"/>
        </w:rPr>
      </w:pPr>
    </w:p>
    <w:p w14:paraId="201BB4BD" w14:textId="77777777" w:rsidR="004D0869" w:rsidRPr="004D0869" w:rsidRDefault="004D0869">
      <w:pPr>
        <w:rPr>
          <w:rFonts w:ascii="Stone Sans II ITC Com Bk" w:hAnsi="Stone Sans II ITC Com Bk"/>
        </w:rPr>
      </w:pPr>
    </w:p>
    <w:p w14:paraId="48F07892" w14:textId="20759F40" w:rsidR="006A7D65" w:rsidRPr="004D0869" w:rsidRDefault="004D0869">
      <w:pPr>
        <w:rPr>
          <w:rFonts w:ascii="Stone Sans II ITC Com Bk" w:hAnsi="Stone Sans II ITC Com Bk"/>
          <w:sz w:val="32"/>
          <w:szCs w:val="32"/>
        </w:rPr>
      </w:pPr>
      <w:r w:rsidRPr="004D0869">
        <w:rPr>
          <w:rFonts w:ascii="Stone Sans II ITC Com Bk" w:hAnsi="Stone Sans II ITC Com Bk" w:cs="NewsGothic,Bold"/>
          <w:b/>
          <w:bCs/>
          <w:noProof/>
          <w:sz w:val="36"/>
          <w:szCs w:val="30"/>
          <w:lang w:eastAsia="de-DE"/>
        </w:rPr>
        <w:drawing>
          <wp:anchor distT="0" distB="0" distL="114300" distR="114300" simplePos="0" relativeHeight="251659264" behindDoc="0" locked="0" layoutInCell="1" allowOverlap="1" wp14:anchorId="5D19DB0D" wp14:editId="15C49447">
            <wp:simplePos x="0" y="0"/>
            <wp:positionH relativeFrom="margin">
              <wp:align>right</wp:align>
            </wp:positionH>
            <wp:positionV relativeFrom="margin">
              <wp:align>top</wp:align>
            </wp:positionV>
            <wp:extent cx="827405" cy="827405"/>
            <wp:effectExtent l="0" t="0" r="0" b="0"/>
            <wp:wrapSquare wrapText="bothSides"/>
            <wp:docPr id="1" name="Grafik 1" descr="Ein Bild, das Grafiken, ro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rot, Schrift, Screensho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623D0510" w:rsidR="004D0869" w:rsidRDefault="004D0869" w:rsidP="004D0869">
      <w:pPr>
        <w:jc w:val="right"/>
        <w:rPr>
          <w:rFonts w:ascii="Stone Sans II ITC Com Bk" w:hAnsi="Stone Sans II ITC Com Bk"/>
        </w:rPr>
      </w:pPr>
      <w:r>
        <w:rPr>
          <w:rFonts w:ascii="Stone Sans II ITC Com Bk" w:hAnsi="Stone Sans II ITC Com Bk"/>
        </w:rPr>
        <w:t>Büdelsdorf</w:t>
      </w:r>
      <w:r w:rsidR="00414926">
        <w:rPr>
          <w:rFonts w:ascii="Stone Sans II ITC Com Bk" w:hAnsi="Stone Sans II ITC Com Bk"/>
        </w:rPr>
        <w:t xml:space="preserve">, </w:t>
      </w:r>
      <w:r w:rsidR="003E7BDF">
        <w:rPr>
          <w:rFonts w:ascii="Stone Sans II ITC Com Bk" w:hAnsi="Stone Sans II ITC Com Bk"/>
        </w:rPr>
        <w:t>11.09</w:t>
      </w:r>
      <w:r w:rsidR="00414926">
        <w:rPr>
          <w:rFonts w:ascii="Stone Sans II ITC Com Bk" w:hAnsi="Stone Sans II ITC Com Bk"/>
        </w:rPr>
        <w:t>.2025</w:t>
      </w:r>
    </w:p>
    <w:p w14:paraId="16628BCA" w14:textId="77777777" w:rsidR="007B134D" w:rsidRDefault="007B134D" w:rsidP="004D0869">
      <w:pPr>
        <w:jc w:val="right"/>
        <w:rPr>
          <w:rFonts w:ascii="Stone Sans II ITC Com Bk" w:hAnsi="Stone Sans II ITC Com Bk"/>
        </w:rPr>
      </w:pPr>
    </w:p>
    <w:p w14:paraId="0354A1EE" w14:textId="34573B96" w:rsidR="00A00196" w:rsidRDefault="00A00196" w:rsidP="00A00196">
      <w:pPr>
        <w:rPr>
          <w:rFonts w:ascii="Stone Sans II ITC Com Bk" w:hAnsi="Stone Sans II ITC Com Bk"/>
          <w:b/>
          <w:bCs/>
        </w:rPr>
      </w:pPr>
      <w:r>
        <w:rPr>
          <w:rFonts w:ascii="Stone Sans II ITC Com Bk" w:hAnsi="Stone Sans II ITC Com Bk"/>
          <w:b/>
          <w:bCs/>
        </w:rPr>
        <w:t>Fassadenentwässerung</w:t>
      </w:r>
      <w:r w:rsidR="0099598D">
        <w:rPr>
          <w:rFonts w:ascii="Stone Sans II ITC Com Bk" w:hAnsi="Stone Sans II ITC Com Bk"/>
          <w:b/>
          <w:bCs/>
        </w:rPr>
        <w:t xml:space="preserve"> mit ACO</w:t>
      </w:r>
    </w:p>
    <w:p w14:paraId="521F0F31" w14:textId="52DA0E38" w:rsidR="00C33178" w:rsidRPr="00A00196" w:rsidRDefault="00A00196" w:rsidP="00A00196">
      <w:pPr>
        <w:rPr>
          <w:rFonts w:ascii="Stone Sans II ITC Com Bk" w:hAnsi="Stone Sans II ITC Com Bk"/>
          <w:b/>
          <w:bCs/>
        </w:rPr>
      </w:pPr>
      <w:r w:rsidRPr="00A00196">
        <w:rPr>
          <w:rFonts w:ascii="Stone Sans II ITC Com Bk" w:hAnsi="Stone Sans II ITC Com Bk"/>
          <w:b/>
          <w:bCs/>
        </w:rPr>
        <w:t>Grundanforderung Sicherheit</w:t>
      </w:r>
      <w:r>
        <w:rPr>
          <w:rFonts w:ascii="Stone Sans II ITC Com Bk" w:hAnsi="Stone Sans II ITC Com Bk"/>
          <w:b/>
          <w:bCs/>
        </w:rPr>
        <w:t>,</w:t>
      </w:r>
      <w:r w:rsidRPr="00A00196">
        <w:rPr>
          <w:rFonts w:ascii="Stone Sans II ITC Com Bk" w:hAnsi="Stone Sans II ITC Com Bk"/>
          <w:b/>
          <w:bCs/>
        </w:rPr>
        <w:t xml:space="preserve"> kein Regelwerk für „Fassadenrinnen“</w:t>
      </w:r>
      <w:r>
        <w:rPr>
          <w:rFonts w:ascii="Stone Sans II ITC Com Bk" w:hAnsi="Stone Sans II ITC Com Bk"/>
          <w:b/>
          <w:bCs/>
        </w:rPr>
        <w:t>?</w:t>
      </w:r>
    </w:p>
    <w:p w14:paraId="05897D23" w14:textId="7A69A453" w:rsidR="0023682F" w:rsidRPr="00096903" w:rsidRDefault="00DF3AF4" w:rsidP="00096903">
      <w:pPr>
        <w:rPr>
          <w:rFonts w:ascii="Stone Sans II ITC Com Bk" w:hAnsi="Stone Sans II ITC Com Bk"/>
          <w:i/>
          <w:iCs/>
        </w:rPr>
      </w:pPr>
      <w:r w:rsidRPr="00CF15E1">
        <w:rPr>
          <w:rFonts w:ascii="Stone Sans II ITC Com Bk" w:hAnsi="Stone Sans II ITC Com Bk"/>
          <w:i/>
          <w:iCs/>
        </w:rPr>
        <w:t xml:space="preserve">Barrierefreie Übergänge, reduzierte Abdichtungshöhen, anspruchsvolle Gestaltung – moderne Architektur stellt hohe Anforderungen an die Fassadenentwässerung. Das WaterTech-Unternehmen </w:t>
      </w:r>
      <w:r w:rsidRPr="00E01C5C">
        <w:rPr>
          <w:rFonts w:ascii="Stone Sans II ITC Com Bk" w:hAnsi="Stone Sans II ITC Com Bk"/>
          <w:i/>
          <w:iCs/>
        </w:rPr>
        <w:t>ACO b</w:t>
      </w:r>
      <w:r w:rsidRPr="00CF15E1">
        <w:rPr>
          <w:rFonts w:ascii="Stone Sans II ITC Com Bk" w:hAnsi="Stone Sans II ITC Com Bk"/>
          <w:i/>
          <w:iCs/>
        </w:rPr>
        <w:t>ietet mit geprüften Fassadenrinnen praxisgerechte Lösungen, auch ohne spezielles Regelwerk. Architekten erhalten Planungssicherheit auf Basis bewährter Normen.</w:t>
      </w:r>
    </w:p>
    <w:p w14:paraId="5AB07CA7" w14:textId="3A7BE33F" w:rsidR="00096903" w:rsidRPr="00096903" w:rsidRDefault="00096903" w:rsidP="00096903">
      <w:pPr>
        <w:rPr>
          <w:rFonts w:ascii="Stone Sans II ITC Com Bk" w:hAnsi="Stone Sans II ITC Com Bk"/>
        </w:rPr>
      </w:pPr>
      <w:r w:rsidRPr="00096903">
        <w:rPr>
          <w:rFonts w:ascii="Stone Sans II ITC Com Bk" w:hAnsi="Stone Sans II ITC Com Bk"/>
        </w:rPr>
        <w:t>Die Fassadenentwässerung gewinnt durch moderne Architektur und den Wunsch nach barrierefreien Übergängen zwischen Freifläche und Gebäude zunehmend an Bedeutung. Besonders in Bereichen mit reduzierter Abdichtungshöhe stellen Fassadenrinnen eine wichtige Kompensationsmaßnahme dar – doch ein spezielles Regelwerk für diese Bauteile existiert bislang nicht.</w:t>
      </w:r>
    </w:p>
    <w:p w14:paraId="3FAAE7C9" w14:textId="00F3F887" w:rsidR="00096903" w:rsidRDefault="00096903" w:rsidP="00096903">
      <w:pPr>
        <w:rPr>
          <w:rFonts w:ascii="Stone Sans II ITC Com Bk" w:hAnsi="Stone Sans II ITC Com Bk"/>
        </w:rPr>
      </w:pPr>
      <w:r w:rsidRPr="00096903">
        <w:rPr>
          <w:rFonts w:ascii="Stone Sans II ITC Com Bk" w:hAnsi="Stone Sans II ITC Com Bk"/>
        </w:rPr>
        <w:t xml:space="preserve">Die aktualisierte </w:t>
      </w:r>
      <w:r w:rsidRPr="00096903">
        <w:rPr>
          <w:rFonts w:ascii="Stone Sans II ITC Com Bk" w:hAnsi="Stone Sans II ITC Com Bk"/>
          <w:b/>
          <w:bCs/>
        </w:rPr>
        <w:t>DIN 18531</w:t>
      </w:r>
      <w:r w:rsidRPr="00096903">
        <w:rPr>
          <w:rFonts w:ascii="Stone Sans II ITC Com Bk" w:hAnsi="Stone Sans II ITC Com Bk"/>
        </w:rPr>
        <w:t>, veröffentlicht im August 2025, sowie d</w:t>
      </w:r>
      <w:r w:rsidR="008B77C5">
        <w:rPr>
          <w:rFonts w:ascii="Stone Sans II ITC Com Bk" w:hAnsi="Stone Sans II ITC Com Bk"/>
        </w:rPr>
        <w:t>ie</w:t>
      </w:r>
      <w:r w:rsidRPr="00096903">
        <w:rPr>
          <w:rFonts w:ascii="Stone Sans II ITC Com Bk" w:hAnsi="Stone Sans II ITC Com Bk"/>
        </w:rPr>
        <w:t xml:space="preserve"> DIN 18533 beschreiben die Einbindung von Schlitz-, Drainage- oder Fassadenrinnen als Lösung für die Entwässerung bei reduzierter Anschlusshöhe. Dabei wird das Wasser nicht direkt zum Ablaufpunkt geführt, sondern über seitliche Drainschlitze unterhalb der Belagsebene abgeführt.</w:t>
      </w:r>
    </w:p>
    <w:p w14:paraId="32170F44" w14:textId="77777777" w:rsidR="00A109D7" w:rsidRDefault="00A109D7" w:rsidP="00096903">
      <w:pPr>
        <w:rPr>
          <w:rFonts w:ascii="Stone Sans II ITC Com Bk" w:hAnsi="Stone Sans II ITC Com Bk"/>
        </w:rPr>
      </w:pPr>
    </w:p>
    <w:p w14:paraId="1268B354" w14:textId="77777777" w:rsidR="00647AFE" w:rsidRPr="007118AD" w:rsidRDefault="00647AFE" w:rsidP="00647AFE">
      <w:pPr>
        <w:rPr>
          <w:rFonts w:ascii="Stone Sans II ITC Com Bk" w:hAnsi="Stone Sans II ITC Com Bk"/>
          <w:b/>
          <w:bCs/>
        </w:rPr>
      </w:pPr>
      <w:r w:rsidRPr="007118AD">
        <w:rPr>
          <w:rFonts w:ascii="Stone Sans II ITC Com Bk" w:hAnsi="Stone Sans II ITC Com Bk"/>
          <w:b/>
          <w:bCs/>
        </w:rPr>
        <w:t>Ganzheitliche Betrachtung der Schnittstelle Freifläche – Fassade</w:t>
      </w:r>
    </w:p>
    <w:p w14:paraId="769D63DA" w14:textId="39765537" w:rsidR="00647AFE" w:rsidRDefault="00096903" w:rsidP="00096903">
      <w:pPr>
        <w:rPr>
          <w:rFonts w:ascii="Stone Sans II ITC Com Bk" w:hAnsi="Stone Sans II ITC Com Bk"/>
        </w:rPr>
      </w:pPr>
      <w:r w:rsidRPr="00096903">
        <w:rPr>
          <w:rFonts w:ascii="Stone Sans II ITC Com Bk" w:hAnsi="Stone Sans II ITC Com Bk"/>
        </w:rPr>
        <w:t xml:space="preserve">Ein umfassendes Verständnis der Schnittstelle zwischen Freifläche und Fassade liefert das derzeit in Bearbeitung befindliche </w:t>
      </w:r>
      <w:r w:rsidRPr="00096903">
        <w:rPr>
          <w:rFonts w:ascii="Stone Sans II ITC Com Bk" w:hAnsi="Stone Sans II ITC Com Bk"/>
          <w:b/>
          <w:bCs/>
        </w:rPr>
        <w:t>Merkblatt „Schnittstelle Bauwerksabdichtung – Baukörperanschluss bodentiefer Elemente“</w:t>
      </w:r>
      <w:r w:rsidRPr="00096903">
        <w:rPr>
          <w:rFonts w:ascii="Stone Sans II ITC Com Bk" w:hAnsi="Stone Sans II ITC Com Bk"/>
        </w:rPr>
        <w:t xml:space="preserve">, das </w:t>
      </w:r>
      <w:r w:rsidR="00F53EE0">
        <w:rPr>
          <w:rFonts w:ascii="Stone Sans II ITC Com Bk" w:hAnsi="Stone Sans II ITC Com Bk"/>
        </w:rPr>
        <w:t xml:space="preserve">federführend </w:t>
      </w:r>
      <w:r w:rsidRPr="00096903">
        <w:rPr>
          <w:rFonts w:ascii="Stone Sans II ITC Com Bk" w:hAnsi="Stone Sans II ITC Com Bk"/>
        </w:rPr>
        <w:t xml:space="preserve">vom </w:t>
      </w:r>
      <w:r w:rsidRPr="00096903">
        <w:rPr>
          <w:rFonts w:ascii="Stone Sans II ITC Com Bk" w:hAnsi="Stone Sans II ITC Com Bk"/>
          <w:b/>
          <w:bCs/>
        </w:rPr>
        <w:t>IFT Rosenheim</w:t>
      </w:r>
      <w:r w:rsidRPr="00096903">
        <w:rPr>
          <w:rFonts w:ascii="Stone Sans II ITC Com Bk" w:hAnsi="Stone Sans II ITC Com Bk"/>
        </w:rPr>
        <w:t xml:space="preserve"> </w:t>
      </w:r>
      <w:r w:rsidR="00F53EE0">
        <w:rPr>
          <w:rFonts w:ascii="Stone Sans II ITC Com Bk" w:hAnsi="Stone Sans II ITC Com Bk"/>
        </w:rPr>
        <w:t>vorangetrieben wird.</w:t>
      </w:r>
      <w:r w:rsidRPr="00096903">
        <w:rPr>
          <w:rFonts w:ascii="Stone Sans II ITC Com Bk" w:hAnsi="Stone Sans II ITC Com Bk"/>
        </w:rPr>
        <w:t xml:space="preserve"> </w:t>
      </w:r>
      <w:r w:rsidR="002D5AA2" w:rsidRPr="007118AD">
        <w:rPr>
          <w:rFonts w:ascii="Stone Sans II ITC Com Bk" w:hAnsi="Stone Sans II ITC Com Bk"/>
        </w:rPr>
        <w:t>Es bietet eine praxisnahe Orientierung für die Planung und Ausführung dieser sensiblen Übergangsbereiche und unterstützt die ganzheitliche Betrachtung von Abdichtung, Entwässerung und Gestaltung.</w:t>
      </w:r>
    </w:p>
    <w:p w14:paraId="39EE0ACD" w14:textId="77777777" w:rsidR="00D25A42" w:rsidRDefault="00D25A42" w:rsidP="00096903">
      <w:pPr>
        <w:rPr>
          <w:rFonts w:ascii="Stone Sans II ITC Com Bk" w:hAnsi="Stone Sans II ITC Com Bk"/>
        </w:rPr>
      </w:pPr>
    </w:p>
    <w:p w14:paraId="5F4E29D5" w14:textId="04FC2D05" w:rsidR="00096903" w:rsidRDefault="00096903" w:rsidP="00096903">
      <w:pPr>
        <w:rPr>
          <w:rFonts w:ascii="Stone Sans II ITC Com Bk" w:hAnsi="Stone Sans II ITC Com Bk"/>
          <w:b/>
          <w:bCs/>
        </w:rPr>
      </w:pPr>
    </w:p>
    <w:p w14:paraId="01C0AC2B" w14:textId="50D0B482" w:rsidR="00CE6D58" w:rsidRPr="007118AD" w:rsidRDefault="00CE6D58" w:rsidP="00CE6D58">
      <w:pPr>
        <w:rPr>
          <w:rFonts w:ascii="Stone Sans II ITC Com Bk" w:hAnsi="Stone Sans II ITC Com Bk"/>
          <w:b/>
          <w:bCs/>
        </w:rPr>
      </w:pPr>
      <w:r w:rsidRPr="007118AD">
        <w:rPr>
          <w:rFonts w:ascii="Stone Sans II ITC Com Bk" w:hAnsi="Stone Sans II ITC Com Bk"/>
          <w:b/>
          <w:bCs/>
        </w:rPr>
        <w:lastRenderedPageBreak/>
        <w:t>DIN EN 1253 als praxisgerechte Grundlage für Fassadenrinnen</w:t>
      </w:r>
    </w:p>
    <w:p w14:paraId="54A7AD5D" w14:textId="77777777" w:rsidR="00096903" w:rsidRPr="00096903" w:rsidRDefault="00096903" w:rsidP="00096903">
      <w:pPr>
        <w:rPr>
          <w:rFonts w:ascii="Stone Sans II ITC Com Bk" w:hAnsi="Stone Sans II ITC Com Bk"/>
        </w:rPr>
      </w:pPr>
      <w:r w:rsidRPr="00096903">
        <w:rPr>
          <w:rFonts w:ascii="Stone Sans II ITC Com Bk" w:hAnsi="Stone Sans II ITC Com Bk"/>
        </w:rPr>
        <w:t xml:space="preserve">Die häufig genannte </w:t>
      </w:r>
      <w:r w:rsidRPr="00096903">
        <w:rPr>
          <w:rFonts w:ascii="Stone Sans II ITC Com Bk" w:hAnsi="Stone Sans II ITC Com Bk"/>
          <w:b/>
          <w:bCs/>
        </w:rPr>
        <w:t>DIN EN 1433</w:t>
      </w:r>
      <w:r w:rsidRPr="00096903">
        <w:rPr>
          <w:rFonts w:ascii="Stone Sans II ITC Com Bk" w:hAnsi="Stone Sans II ITC Com Bk"/>
        </w:rPr>
        <w:t xml:space="preserve"> ist für Fassadenrinnen nicht geeignet, da sie geschlossene Rinnen mit wasserdichten Verbindungen und hohen Belastungsklassen ab A15 (1500 kg) voraussetzt. Fassadenrinnen hingegen verfügen über offene Drainschlitze und sind nicht für solche Lasten konzipiert – insbesondere in Sockelbereichen, wo diese bautechnisch kaum umsetzbar sind.</w:t>
      </w:r>
    </w:p>
    <w:p w14:paraId="3FB2B296" w14:textId="77777777" w:rsidR="00096903" w:rsidRPr="00096903" w:rsidRDefault="00096903" w:rsidP="00096903">
      <w:pPr>
        <w:rPr>
          <w:rFonts w:ascii="Stone Sans II ITC Com Bk" w:hAnsi="Stone Sans II ITC Com Bk"/>
        </w:rPr>
      </w:pPr>
      <w:r w:rsidRPr="00096903">
        <w:rPr>
          <w:rFonts w:ascii="Stone Sans II ITC Com Bk" w:hAnsi="Stone Sans II ITC Com Bk"/>
        </w:rPr>
        <w:t xml:space="preserve">Deutlich praxisnäher ist die </w:t>
      </w:r>
      <w:r w:rsidRPr="00096903">
        <w:rPr>
          <w:rFonts w:ascii="Stone Sans II ITC Com Bk" w:hAnsi="Stone Sans II ITC Com Bk"/>
          <w:b/>
          <w:bCs/>
        </w:rPr>
        <w:t>DIN EN 1253 „Abläufe für Gebäude“</w:t>
      </w:r>
      <w:r w:rsidRPr="00096903">
        <w:rPr>
          <w:rFonts w:ascii="Stone Sans II ITC Com Bk" w:hAnsi="Stone Sans II ITC Com Bk"/>
        </w:rPr>
        <w:t xml:space="preserve">, die auch vom </w:t>
      </w:r>
      <w:r w:rsidRPr="00096903">
        <w:rPr>
          <w:rFonts w:ascii="Stone Sans II ITC Com Bk" w:hAnsi="Stone Sans II ITC Com Bk"/>
          <w:b/>
          <w:bCs/>
        </w:rPr>
        <w:t>TÜV Rheinland</w:t>
      </w:r>
      <w:r w:rsidRPr="00096903">
        <w:rPr>
          <w:rFonts w:ascii="Stone Sans II ITC Com Bk" w:hAnsi="Stone Sans II ITC Com Bk"/>
        </w:rPr>
        <w:t xml:space="preserve"> als geeignete Prüfgrundlage anerkannt wird. Sie definiert realistische Belastungsklassen wie </w:t>
      </w:r>
      <w:r w:rsidRPr="00096903">
        <w:rPr>
          <w:rFonts w:ascii="Stone Sans II ITC Com Bk" w:hAnsi="Stone Sans II ITC Com Bk"/>
          <w:b/>
          <w:bCs/>
        </w:rPr>
        <w:t>K 3 (300 kg)</w:t>
      </w:r>
      <w:r w:rsidRPr="00096903">
        <w:rPr>
          <w:rFonts w:ascii="Stone Sans II ITC Com Bk" w:hAnsi="Stone Sans II ITC Com Bk"/>
        </w:rPr>
        <w:t xml:space="preserve"> für Wohn- und Gewerbebauten sowie </w:t>
      </w:r>
      <w:r w:rsidRPr="00096903">
        <w:rPr>
          <w:rFonts w:ascii="Stone Sans II ITC Com Bk" w:hAnsi="Stone Sans II ITC Com Bk"/>
          <w:b/>
          <w:bCs/>
        </w:rPr>
        <w:t>L 15 (1500 kg)</w:t>
      </w:r>
      <w:r w:rsidRPr="00096903">
        <w:rPr>
          <w:rFonts w:ascii="Stone Sans II ITC Com Bk" w:hAnsi="Stone Sans II ITC Com Bk"/>
        </w:rPr>
        <w:t xml:space="preserve"> für Bereiche mit leichtem Fahrzeugverkehr. Zudem berücksichtigt sie Sicherheitsaspekte wie eine maximale Schlitzweite von </w:t>
      </w:r>
      <w:r w:rsidRPr="00096903">
        <w:rPr>
          <w:rFonts w:ascii="Stone Sans II ITC Com Bk" w:hAnsi="Stone Sans II ITC Com Bk"/>
          <w:b/>
          <w:bCs/>
        </w:rPr>
        <w:t>8 mm im Barfußbereich</w:t>
      </w:r>
      <w:r w:rsidRPr="00096903">
        <w:rPr>
          <w:rFonts w:ascii="Stone Sans II ITC Com Bk" w:hAnsi="Stone Sans II ITC Com Bk"/>
        </w:rPr>
        <w:t>.</w:t>
      </w:r>
    </w:p>
    <w:p w14:paraId="73C237E4" w14:textId="77777777" w:rsidR="00A109D7" w:rsidRDefault="00A109D7" w:rsidP="00096903">
      <w:pPr>
        <w:rPr>
          <w:rFonts w:ascii="Stone Sans II ITC Com Bk" w:hAnsi="Stone Sans II ITC Com Bk"/>
          <w:b/>
          <w:bCs/>
        </w:rPr>
      </w:pPr>
    </w:p>
    <w:p w14:paraId="4579EA40" w14:textId="2209F9D5" w:rsidR="00096903" w:rsidRPr="00096903" w:rsidRDefault="00096903" w:rsidP="00096903">
      <w:pPr>
        <w:rPr>
          <w:rFonts w:ascii="Stone Sans II ITC Com Bk" w:hAnsi="Stone Sans II ITC Com Bk"/>
          <w:b/>
          <w:bCs/>
        </w:rPr>
      </w:pPr>
      <w:r w:rsidRPr="00096903">
        <w:rPr>
          <w:rFonts w:ascii="Stone Sans II ITC Com Bk" w:hAnsi="Stone Sans II ITC Com Bk"/>
          <w:b/>
          <w:bCs/>
        </w:rPr>
        <w:t xml:space="preserve">ACO setzt Maßstäbe </w:t>
      </w:r>
      <w:r w:rsidR="00954923">
        <w:rPr>
          <w:rFonts w:ascii="Stone Sans II ITC Com Bk" w:hAnsi="Stone Sans II ITC Com Bk"/>
          <w:b/>
          <w:bCs/>
        </w:rPr>
        <w:t>für geprüfte</w:t>
      </w:r>
      <w:r w:rsidRPr="00096903">
        <w:rPr>
          <w:rFonts w:ascii="Stone Sans II ITC Com Bk" w:hAnsi="Stone Sans II ITC Com Bk"/>
          <w:b/>
          <w:bCs/>
        </w:rPr>
        <w:t xml:space="preserve"> Sicherheit und Normenkonformität</w:t>
      </w:r>
    </w:p>
    <w:p w14:paraId="711C7735" w14:textId="77777777" w:rsidR="00096903" w:rsidRPr="00096903" w:rsidRDefault="00096903" w:rsidP="00096903">
      <w:pPr>
        <w:rPr>
          <w:rFonts w:ascii="Stone Sans II ITC Com Bk" w:hAnsi="Stone Sans II ITC Com Bk"/>
        </w:rPr>
      </w:pPr>
      <w:r w:rsidRPr="00096903">
        <w:rPr>
          <w:rFonts w:ascii="Stone Sans II ITC Com Bk" w:hAnsi="Stone Sans II ITC Com Bk"/>
        </w:rPr>
        <w:t xml:space="preserve">ACO-Fassadenrinnen werden in Anlehnung an die </w:t>
      </w:r>
      <w:r w:rsidRPr="00096903">
        <w:rPr>
          <w:rFonts w:ascii="Stone Sans II ITC Com Bk" w:hAnsi="Stone Sans II ITC Com Bk"/>
          <w:b/>
          <w:bCs/>
        </w:rPr>
        <w:t>DIN EN 1253-2</w:t>
      </w:r>
      <w:r w:rsidRPr="00096903">
        <w:rPr>
          <w:rFonts w:ascii="Stone Sans II ITC Com Bk" w:hAnsi="Stone Sans II ITC Com Bk"/>
        </w:rPr>
        <w:t xml:space="preserve"> durch den TÜV Rheinland sowie nach firmeneigener Werksnorm geprüft. Ab 2026 wird das Rostprogramm erweitert, um die Anforderungen an Schlitzweiten und Rutschfestigkeit zu erfüllen. Für Kunststoffprodukte liegen Brandschutzgutachten vor, und bei Bedarf sind Rostsicherungen verfügbar.</w:t>
      </w:r>
    </w:p>
    <w:p w14:paraId="67F30DCF" w14:textId="45288D66" w:rsidR="00C33178" w:rsidRDefault="00096903" w:rsidP="00096903">
      <w:pPr>
        <w:rPr>
          <w:rFonts w:ascii="Stone Sans II ITC Com Bk" w:hAnsi="Stone Sans II ITC Com Bk"/>
        </w:rPr>
      </w:pPr>
      <w:r w:rsidRPr="00096903">
        <w:rPr>
          <w:rFonts w:ascii="Stone Sans II ITC Com Bk" w:hAnsi="Stone Sans II ITC Com Bk"/>
          <w:b/>
          <w:bCs/>
        </w:rPr>
        <w:t>Fazit:</w:t>
      </w:r>
      <w:r w:rsidRPr="00096903">
        <w:rPr>
          <w:rFonts w:ascii="Stone Sans II ITC Com Bk" w:hAnsi="Stone Sans II ITC Com Bk"/>
        </w:rPr>
        <w:t xml:space="preserve"> Auch ohne spezielles Regelwerk bieten Fassadenrinnen – bei normgerechter Planung und Prüfung – ein hohes Maß an Sicherheit und Funktionalität. Die DIN EN 1253 stellt dabei die geeignetste Grundlage dar, um die Grundanforderungen an mechanische Festigkeit</w:t>
      </w:r>
      <w:r w:rsidR="00A63A99">
        <w:rPr>
          <w:rFonts w:ascii="Stone Sans II ITC Com Bk" w:hAnsi="Stone Sans II ITC Com Bk"/>
        </w:rPr>
        <w:t xml:space="preserve"> und </w:t>
      </w:r>
      <w:r w:rsidR="00A63A99" w:rsidRPr="00096903">
        <w:rPr>
          <w:rFonts w:ascii="Stone Sans II ITC Com Bk" w:hAnsi="Stone Sans II ITC Com Bk"/>
        </w:rPr>
        <w:t>Standsicherheit</w:t>
      </w:r>
      <w:r w:rsidRPr="00096903">
        <w:rPr>
          <w:rFonts w:ascii="Stone Sans II ITC Com Bk" w:hAnsi="Stone Sans II ITC Com Bk"/>
        </w:rPr>
        <w:t xml:space="preserve"> zuverlässig zu erfüllen.</w:t>
      </w:r>
      <w:r w:rsidR="00A63A99">
        <w:rPr>
          <w:rFonts w:ascii="Stone Sans II ITC Com Bk" w:hAnsi="Stone Sans II ITC Com Bk"/>
        </w:rPr>
        <w:t xml:space="preserve"> Damit liefern </w:t>
      </w:r>
      <w:r w:rsidR="00A63A99" w:rsidRPr="006E7BAC">
        <w:rPr>
          <w:rFonts w:ascii="Stone Sans II ITC Com Bk" w:hAnsi="Stone Sans II ITC Com Bk"/>
          <w:b/>
          <w:bCs/>
        </w:rPr>
        <w:t>ACO Fassadenrinnen</w:t>
      </w:r>
      <w:r w:rsidR="00A63A99">
        <w:rPr>
          <w:rFonts w:ascii="Stone Sans II ITC Com Bk" w:hAnsi="Stone Sans II ITC Com Bk"/>
        </w:rPr>
        <w:t xml:space="preserve"> </w:t>
      </w:r>
      <w:r w:rsidR="008204A4">
        <w:rPr>
          <w:rFonts w:ascii="Stone Sans II ITC Com Bk" w:hAnsi="Stone Sans II ITC Com Bk"/>
        </w:rPr>
        <w:t>die notwendige Sicherheit</w:t>
      </w:r>
      <w:r w:rsidR="00A63A99">
        <w:rPr>
          <w:rFonts w:ascii="Stone Sans II ITC Com Bk" w:hAnsi="Stone Sans II ITC Com Bk"/>
        </w:rPr>
        <w:t xml:space="preserve"> für barrierefreie</w:t>
      </w:r>
      <w:r w:rsidR="006E7BAC">
        <w:rPr>
          <w:rFonts w:ascii="Stone Sans II ITC Com Bk" w:hAnsi="Stone Sans II ITC Com Bk"/>
        </w:rPr>
        <w:t>s Bauen.</w:t>
      </w:r>
    </w:p>
    <w:p w14:paraId="3E0FAD39" w14:textId="335AAB5A" w:rsidR="00A109D7" w:rsidRPr="00A109D7" w:rsidRDefault="00A109D7" w:rsidP="00096903">
      <w:pPr>
        <w:rPr>
          <w:rFonts w:ascii="Stone Sans II ITC Com Bk" w:hAnsi="Stone Sans II ITC Com Bk"/>
          <w:u w:val="single"/>
        </w:rPr>
      </w:pPr>
      <w:r w:rsidRPr="00A109D7">
        <w:rPr>
          <w:rFonts w:ascii="Stone Sans II ITC Com Bk" w:hAnsi="Stone Sans II ITC Com Bk"/>
          <w:u w:val="single"/>
        </w:rPr>
        <w:t>Weitere Informationen</w:t>
      </w:r>
    </w:p>
    <w:p w14:paraId="1FE44034" w14:textId="7DC7E5C3" w:rsidR="00A109D7" w:rsidRPr="0099598D" w:rsidRDefault="00A109D7" w:rsidP="00096903">
      <w:pPr>
        <w:rPr>
          <w:rFonts w:ascii="Stone Sans II ITC Com Bk" w:hAnsi="Stone Sans II ITC Com Bk"/>
        </w:rPr>
      </w:pPr>
      <w:r w:rsidRPr="0099598D">
        <w:rPr>
          <w:rFonts w:ascii="Stone Sans II ITC Com Bk" w:hAnsi="Stone Sans II ITC Com Bk"/>
        </w:rPr>
        <w:t>ACO:</w:t>
      </w:r>
      <w:r w:rsidR="003E7BDF" w:rsidRPr="0099598D">
        <w:rPr>
          <w:rFonts w:ascii="Stone Sans II ITC Com Bk" w:hAnsi="Stone Sans II ITC Com Bk"/>
        </w:rPr>
        <w:t xml:space="preserve"> </w:t>
      </w:r>
      <w:hyperlink r:id="rId11" w:history="1">
        <w:r w:rsidR="00F8636F" w:rsidRPr="0099598D">
          <w:rPr>
            <w:rStyle w:val="Hyperlink"/>
            <w:rFonts w:ascii="Stone Sans II ITC Com Bk" w:hAnsi="Stone Sans II ITC Com Bk"/>
          </w:rPr>
          <w:t>https://www.aco.de/anwendungen/fassadenentwaesserung</w:t>
        </w:r>
      </w:hyperlink>
      <w:r w:rsidR="00F8636F" w:rsidRPr="0099598D">
        <w:rPr>
          <w:rFonts w:ascii="Stone Sans II ITC Com Bk" w:hAnsi="Stone Sans II ITC Com Bk"/>
        </w:rPr>
        <w:t xml:space="preserve"> </w:t>
      </w:r>
    </w:p>
    <w:p w14:paraId="0747E86B" w14:textId="68F5A8D4" w:rsidR="00A109D7" w:rsidRPr="00096903" w:rsidRDefault="00A109D7" w:rsidP="00096903">
      <w:pPr>
        <w:rPr>
          <w:rFonts w:ascii="Stone Sans II ITC Com Bk" w:hAnsi="Stone Sans II ITC Com Bk"/>
        </w:rPr>
      </w:pPr>
      <w:r>
        <w:rPr>
          <w:rFonts w:ascii="Stone Sans II ITC Com Bk" w:hAnsi="Stone Sans II ITC Com Bk"/>
        </w:rPr>
        <w:t xml:space="preserve">IFT Rosenheim: </w:t>
      </w:r>
      <w:hyperlink r:id="rId12" w:history="1">
        <w:r w:rsidRPr="004F5302">
          <w:rPr>
            <w:rStyle w:val="Hyperlink"/>
            <w:rFonts w:ascii="Stone Sans II ITC Com Bk" w:hAnsi="Stone Sans II ITC Com Bk"/>
          </w:rPr>
          <w:t>www.ift-rosenheim.de/arbeitskreis-schnittstelle-bauwerksabdichtung-baukoerperanschluss-bodentiefer-elemente</w:t>
        </w:r>
      </w:hyperlink>
    </w:p>
    <w:p w14:paraId="26ADC934" w14:textId="3BD082FE" w:rsidR="004F5302" w:rsidRDefault="004F5302" w:rsidP="004F5302">
      <w:pPr>
        <w:rPr>
          <w:rFonts w:ascii="Stone Sans II ITC Com Bk" w:hAnsi="Stone Sans II ITC Com Bk"/>
        </w:rPr>
      </w:pPr>
    </w:p>
    <w:tbl>
      <w:tblPr>
        <w:tblStyle w:val="Tabellenraster"/>
        <w:tblW w:w="0" w:type="auto"/>
        <w:tblBorders>
          <w:top w:val="single" w:sz="4" w:space="0" w:color="DEEAF6" w:themeColor="accent5" w:themeTint="33"/>
          <w:left w:val="single" w:sz="4" w:space="0" w:color="DEEAF6" w:themeColor="accent5" w:themeTint="33"/>
          <w:bottom w:val="single" w:sz="4" w:space="0" w:color="DEEAF6" w:themeColor="accent5" w:themeTint="33"/>
          <w:right w:val="single" w:sz="4" w:space="0" w:color="DEEAF6" w:themeColor="accent5" w:themeTint="33"/>
          <w:insideH w:val="single" w:sz="4" w:space="0" w:color="DEEAF6" w:themeColor="accent5" w:themeTint="33"/>
          <w:insideV w:val="single" w:sz="4" w:space="0" w:color="DEEAF6" w:themeColor="accent5" w:themeTint="33"/>
        </w:tblBorders>
        <w:tblLook w:val="04A0" w:firstRow="1" w:lastRow="0" w:firstColumn="1" w:lastColumn="0" w:noHBand="0" w:noVBand="1"/>
      </w:tblPr>
      <w:tblGrid>
        <w:gridCol w:w="9062"/>
      </w:tblGrid>
      <w:tr w:rsidR="00B5704F" w14:paraId="3156CB97" w14:textId="77777777" w:rsidTr="00750854">
        <w:tc>
          <w:tcPr>
            <w:tcW w:w="9062" w:type="dxa"/>
          </w:tcPr>
          <w:p w14:paraId="343998F2" w14:textId="36B06207" w:rsidR="007B48BC" w:rsidRPr="007B48BC" w:rsidRDefault="007B48BC" w:rsidP="007B48BC">
            <w:pPr>
              <w:rPr>
                <w:rFonts w:ascii="Stone Sans II ITC Com Bk" w:hAnsi="Stone Sans II ITC Com Bk"/>
                <w:b/>
                <w:bCs/>
              </w:rPr>
            </w:pPr>
            <w:r w:rsidRPr="007B48BC">
              <w:rPr>
                <w:rFonts w:ascii="Stone Sans II ITC Com Bk" w:hAnsi="Stone Sans II ITC Com Bk"/>
                <w:b/>
                <w:bCs/>
              </w:rPr>
              <w:t>Planungshelfer Fensteranschluss</w:t>
            </w:r>
          </w:p>
          <w:p w14:paraId="24C68601" w14:textId="77777777" w:rsidR="007B48BC" w:rsidRPr="007B48BC" w:rsidRDefault="007B48BC" w:rsidP="007B48BC">
            <w:pPr>
              <w:rPr>
                <w:rFonts w:ascii="Stone Sans II ITC Com Bk" w:hAnsi="Stone Sans II ITC Com Bk"/>
              </w:rPr>
            </w:pPr>
          </w:p>
          <w:p w14:paraId="20AD5215" w14:textId="77777777" w:rsidR="007B48BC" w:rsidRPr="007B48BC" w:rsidRDefault="007B48BC" w:rsidP="007B48BC">
            <w:pPr>
              <w:rPr>
                <w:rFonts w:ascii="Stone Sans II ITC Com Bk" w:hAnsi="Stone Sans II ITC Com Bk"/>
              </w:rPr>
            </w:pPr>
            <w:r w:rsidRPr="007B48BC">
              <w:rPr>
                <w:rFonts w:ascii="Stone Sans II ITC Com Bk" w:hAnsi="Stone Sans II ITC Com Bk"/>
              </w:rPr>
              <w:t>Zur besseren Planung des Anschluss</w:t>
            </w:r>
            <w:r w:rsidRPr="007B48BC">
              <w:rPr>
                <w:rFonts w:ascii="Stone Sans II ITC Com Bk" w:hAnsi="Stone Sans II ITC Com Bk"/>
              </w:rPr>
              <w:softHyphen/>
              <w:t>bereiches wurde mit den Partnern Triflex, ACO, Profine, Schöck und Siegenia ein Planungstool für barrierefreie Übergänge entwickelt. Dieses Tool beleuchtet die gesamte Schnittstelle zur ganzheitlichen Planung. Zu finden unter: </w:t>
            </w:r>
            <w:hyperlink r:id="rId13" w:tgtFrame="_blank" w:tooltip="www.planungshelfer-fensteranschluss.de" w:history="1">
              <w:r w:rsidRPr="007B48BC">
                <w:rPr>
                  <w:rStyle w:val="Hyperlink"/>
                  <w:rFonts w:ascii="Stone Sans II ITC Com Bk" w:hAnsi="Stone Sans II ITC Com Bk"/>
                </w:rPr>
                <w:t>www.planungshelfer-fensteranschluss.de</w:t>
              </w:r>
            </w:hyperlink>
          </w:p>
          <w:p w14:paraId="20DF4B41" w14:textId="77777777" w:rsidR="00B5704F" w:rsidRDefault="00B5704F">
            <w:pPr>
              <w:rPr>
                <w:rFonts w:ascii="Stone Sans II ITC Com Bk" w:hAnsi="Stone Sans II ITC Com Bk"/>
              </w:rPr>
            </w:pPr>
          </w:p>
        </w:tc>
      </w:tr>
    </w:tbl>
    <w:p w14:paraId="2F8299D7" w14:textId="77777777" w:rsidR="004E39EF" w:rsidRDefault="004E39EF">
      <w:pPr>
        <w:rPr>
          <w:rFonts w:ascii="Stone Sans II ITC Com Bk" w:hAnsi="Stone Sans II ITC Com Bk"/>
        </w:rPr>
      </w:pPr>
      <w:r>
        <w:rPr>
          <w:rFonts w:ascii="Stone Sans II ITC Com Bk" w:hAnsi="Stone Sans II ITC Com Bk"/>
        </w:rPr>
        <w:br w:type="page"/>
      </w:r>
    </w:p>
    <w:p w14:paraId="4BC3B859" w14:textId="02CDE318" w:rsidR="00EA7476" w:rsidRDefault="00EA7476" w:rsidP="004F5302">
      <w:pPr>
        <w:rPr>
          <w:rFonts w:ascii="Stone Sans II ITC Com Bk" w:hAnsi="Stone Sans II ITC Com Bk"/>
          <w:b/>
          <w:bCs/>
        </w:rPr>
      </w:pPr>
      <w:r>
        <w:rPr>
          <w:rFonts w:ascii="Stone Sans II ITC Com Bk" w:hAnsi="Stone Sans II ITC Com Bk"/>
          <w:b/>
          <w:bCs/>
        </w:rPr>
        <w:lastRenderedPageBreak/>
        <w:t>Bildmaterial:</w:t>
      </w:r>
      <w:r w:rsidR="004E39EF">
        <w:rPr>
          <w:rFonts w:ascii="Stone Sans II ITC Com Bk" w:hAnsi="Stone Sans II ITC Com Bk"/>
          <w:b/>
          <w:bCs/>
        </w:rPr>
        <w:t xml:space="preserve"> Quelle ACO</w:t>
      </w:r>
    </w:p>
    <w:p w14:paraId="3B7F4ED7" w14:textId="77777777" w:rsidR="00EA7476" w:rsidRDefault="00EA7476" w:rsidP="004F5302">
      <w:pPr>
        <w:rPr>
          <w:rFonts w:ascii="Stone Sans II ITC Com Bk" w:hAnsi="Stone Sans II ITC Com Bk"/>
          <w:b/>
          <w:bCs/>
        </w:rPr>
      </w:pPr>
    </w:p>
    <w:p w14:paraId="34C6EB81" w14:textId="77777777" w:rsidR="009635C2" w:rsidRDefault="009635C2" w:rsidP="004F5302">
      <w:pPr>
        <w:rPr>
          <w:rFonts w:ascii="Stone Sans II ITC Com Bk" w:hAnsi="Stone Sans II ITC Com Bk"/>
          <w:b/>
          <w:bCs/>
        </w:rPr>
      </w:pPr>
      <w:r w:rsidRPr="009635C2">
        <w:rPr>
          <w:rFonts w:ascii="Stone Sans II ITC Com Bk" w:hAnsi="Stone Sans II ITC Com Bk"/>
          <w:b/>
          <w:bCs/>
          <w:noProof/>
        </w:rPr>
        <w:drawing>
          <wp:inline distT="0" distB="0" distL="0" distR="0" wp14:anchorId="7454241D" wp14:editId="5816377B">
            <wp:extent cx="4219575" cy="2852120"/>
            <wp:effectExtent l="0" t="0" r="0" b="5715"/>
            <wp:docPr id="961202276" name="Grafik 1" descr="Ein Bild, das Himmel, Wolke, Gebäude, Wolkenkratz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02276" name="Grafik 1" descr="Ein Bild, das Himmel, Wolke, Gebäude, Wolkenkratzer enthält.&#10;&#10;KI-generierte Inhalte können fehlerhaft sein."/>
                    <pic:cNvPicPr/>
                  </pic:nvPicPr>
                  <pic:blipFill>
                    <a:blip r:embed="rId14"/>
                    <a:stretch>
                      <a:fillRect/>
                    </a:stretch>
                  </pic:blipFill>
                  <pic:spPr>
                    <a:xfrm>
                      <a:off x="0" y="0"/>
                      <a:ext cx="4223091" cy="2854496"/>
                    </a:xfrm>
                    <a:prstGeom prst="rect">
                      <a:avLst/>
                    </a:prstGeom>
                  </pic:spPr>
                </pic:pic>
              </a:graphicData>
            </a:graphic>
          </wp:inline>
        </w:drawing>
      </w:r>
    </w:p>
    <w:p w14:paraId="2C8B57C4" w14:textId="15697E8C" w:rsidR="001F1934" w:rsidRDefault="009635C2" w:rsidP="004F5302">
      <w:pPr>
        <w:rPr>
          <w:rFonts w:ascii="Stone Sans II ITC Com Bk" w:hAnsi="Stone Sans II ITC Com Bk"/>
        </w:rPr>
      </w:pPr>
      <w:r w:rsidRPr="007246CF">
        <w:rPr>
          <w:rFonts w:ascii="Stone Sans II ITC Com Bk" w:hAnsi="Stone Sans II ITC Com Bk"/>
        </w:rPr>
        <w:t xml:space="preserve">BU: </w:t>
      </w:r>
      <w:r w:rsidR="007246CF" w:rsidRPr="007246CF">
        <w:rPr>
          <w:rFonts w:ascii="Stone Sans II ITC Com Bk" w:hAnsi="Stone Sans II ITC Com Bk"/>
        </w:rPr>
        <w:t xml:space="preserve">Fassadenrinne ACO Profiline 2.0 </w:t>
      </w:r>
      <w:r w:rsidR="00884DD1">
        <w:rPr>
          <w:rFonts w:ascii="Stone Sans II ITC Com Bk" w:hAnsi="Stone Sans II ITC Com Bk"/>
        </w:rPr>
        <w:t xml:space="preserve">fügt sich </w:t>
      </w:r>
      <w:r w:rsidR="00033B57">
        <w:rPr>
          <w:rFonts w:ascii="Stone Sans II ITC Com Bk" w:hAnsi="Stone Sans II ITC Com Bk"/>
        </w:rPr>
        <w:t>zeitlos in die Gebäudearchitektur</w:t>
      </w:r>
    </w:p>
    <w:p w14:paraId="2A17F803" w14:textId="77777777" w:rsidR="00033B57" w:rsidRDefault="00033B57" w:rsidP="004F5302">
      <w:pPr>
        <w:rPr>
          <w:rFonts w:ascii="Stone Sans II ITC Com Bk" w:hAnsi="Stone Sans II ITC Com Bk"/>
        </w:rPr>
      </w:pPr>
    </w:p>
    <w:p w14:paraId="1E070E2C" w14:textId="77777777" w:rsidR="001F1934" w:rsidRDefault="001F1934" w:rsidP="004F5302">
      <w:pPr>
        <w:rPr>
          <w:rFonts w:ascii="Stone Sans II ITC Com Bk" w:hAnsi="Stone Sans II ITC Com Bk"/>
        </w:rPr>
      </w:pPr>
      <w:r w:rsidRPr="001F1934">
        <w:rPr>
          <w:rFonts w:ascii="Stone Sans II ITC Com Bk" w:hAnsi="Stone Sans II ITC Com Bk"/>
          <w:noProof/>
        </w:rPr>
        <w:drawing>
          <wp:inline distT="0" distB="0" distL="0" distR="0" wp14:anchorId="1908C91D" wp14:editId="73B72773">
            <wp:extent cx="2261820" cy="3419475"/>
            <wp:effectExtent l="0" t="0" r="5715" b="0"/>
            <wp:docPr id="409675815" name="Grafik 1" descr="Ein Bild, das Kleidung, Schuhwerk,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75815" name="Grafik 1" descr="Ein Bild, das Kleidung, Schuhwerk, Gebäude, Himmel enthält.&#10;&#10;KI-generierte Inhalte können fehlerhaft sein."/>
                    <pic:cNvPicPr/>
                  </pic:nvPicPr>
                  <pic:blipFill>
                    <a:blip r:embed="rId15"/>
                    <a:stretch>
                      <a:fillRect/>
                    </a:stretch>
                  </pic:blipFill>
                  <pic:spPr>
                    <a:xfrm>
                      <a:off x="0" y="0"/>
                      <a:ext cx="2265742" cy="3425404"/>
                    </a:xfrm>
                    <a:prstGeom prst="rect">
                      <a:avLst/>
                    </a:prstGeom>
                  </pic:spPr>
                </pic:pic>
              </a:graphicData>
            </a:graphic>
          </wp:inline>
        </w:drawing>
      </w:r>
    </w:p>
    <w:p w14:paraId="3F57F323" w14:textId="77777777" w:rsidR="001F1934" w:rsidRDefault="001F1934" w:rsidP="004F5302">
      <w:pPr>
        <w:rPr>
          <w:rFonts w:ascii="Stone Sans II ITC Com Bk" w:hAnsi="Stone Sans II ITC Com Bk"/>
        </w:rPr>
      </w:pPr>
      <w:r>
        <w:rPr>
          <w:rFonts w:ascii="Stone Sans II ITC Com Bk" w:hAnsi="Stone Sans II ITC Com Bk"/>
        </w:rPr>
        <w:t>BU: Fassadenrinne ACO Profiline 2.0</w:t>
      </w:r>
    </w:p>
    <w:p w14:paraId="0BD94DEF" w14:textId="77777777" w:rsidR="00421F78" w:rsidRDefault="00421F78" w:rsidP="004F5302">
      <w:pPr>
        <w:rPr>
          <w:rFonts w:ascii="Stone Sans II ITC Com Bk" w:hAnsi="Stone Sans II ITC Com Bk"/>
        </w:rPr>
      </w:pPr>
    </w:p>
    <w:p w14:paraId="5D6AC8C8" w14:textId="0FBAA63A" w:rsidR="00421F78" w:rsidRDefault="00421F78" w:rsidP="004F5302">
      <w:pPr>
        <w:rPr>
          <w:rFonts w:ascii="Stone Sans II ITC Com Bk" w:hAnsi="Stone Sans II ITC Com Bk"/>
        </w:rPr>
      </w:pPr>
      <w:r w:rsidRPr="00421F78">
        <w:rPr>
          <w:rFonts w:ascii="Stone Sans II ITC Com Bk" w:hAnsi="Stone Sans II ITC Com Bk"/>
          <w:noProof/>
        </w:rPr>
        <w:lastRenderedPageBreak/>
        <w:drawing>
          <wp:inline distT="0" distB="0" distL="0" distR="0" wp14:anchorId="0687AC55" wp14:editId="7CB98DD5">
            <wp:extent cx="3253591" cy="2438400"/>
            <wp:effectExtent l="0" t="0" r="4445" b="0"/>
            <wp:docPr id="1212876984" name="Grafik 1" descr="Ein Bild, das draußen, Himmel, Abfallcontainer,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76984" name="Grafik 1" descr="Ein Bild, das draußen, Himmel, Abfallcontainer, Pflanze enthält.&#10;&#10;KI-generierte Inhalte können fehlerhaft sein."/>
                    <pic:cNvPicPr/>
                  </pic:nvPicPr>
                  <pic:blipFill>
                    <a:blip r:embed="rId16"/>
                    <a:stretch>
                      <a:fillRect/>
                    </a:stretch>
                  </pic:blipFill>
                  <pic:spPr>
                    <a:xfrm>
                      <a:off x="0" y="0"/>
                      <a:ext cx="3263979" cy="2446185"/>
                    </a:xfrm>
                    <a:prstGeom prst="rect">
                      <a:avLst/>
                    </a:prstGeom>
                  </pic:spPr>
                </pic:pic>
              </a:graphicData>
            </a:graphic>
          </wp:inline>
        </w:drawing>
      </w:r>
    </w:p>
    <w:p w14:paraId="7DD353E2" w14:textId="1080FA86" w:rsidR="00421F78" w:rsidRDefault="00421F78" w:rsidP="004F5302">
      <w:pPr>
        <w:rPr>
          <w:rFonts w:ascii="Stone Sans II ITC Com Bk" w:hAnsi="Stone Sans II ITC Com Bk"/>
        </w:rPr>
      </w:pPr>
      <w:r>
        <w:rPr>
          <w:rFonts w:ascii="Stone Sans II ITC Com Bk" w:hAnsi="Stone Sans II ITC Com Bk"/>
        </w:rPr>
        <w:t xml:space="preserve">BU: </w:t>
      </w:r>
      <w:r w:rsidR="00D8463F">
        <w:rPr>
          <w:rFonts w:ascii="Stone Sans II ITC Com Bk" w:hAnsi="Stone Sans II ITC Com Bk"/>
        </w:rPr>
        <w:t xml:space="preserve">Barrierefreie </w:t>
      </w:r>
      <w:r w:rsidR="00DD5F78">
        <w:rPr>
          <w:rFonts w:ascii="Stone Sans II ITC Com Bk" w:hAnsi="Stone Sans II ITC Com Bk"/>
        </w:rPr>
        <w:t xml:space="preserve">Fassadenentwässerung </w:t>
      </w:r>
      <w:r w:rsidR="00D8463F">
        <w:rPr>
          <w:rFonts w:ascii="Stone Sans II ITC Com Bk" w:hAnsi="Stone Sans II ITC Com Bk"/>
        </w:rPr>
        <w:t>vor Glasfassaden</w:t>
      </w:r>
    </w:p>
    <w:p w14:paraId="1B6191F1" w14:textId="77777777" w:rsidR="006E5CA9" w:rsidRDefault="006E5CA9" w:rsidP="004F5302">
      <w:pPr>
        <w:rPr>
          <w:rFonts w:ascii="Stone Sans II ITC Com Bk" w:hAnsi="Stone Sans II ITC Com Bk"/>
        </w:rPr>
      </w:pPr>
    </w:p>
    <w:p w14:paraId="43CE2311" w14:textId="77777777" w:rsidR="00997267" w:rsidRDefault="00997267" w:rsidP="004F5302">
      <w:pPr>
        <w:rPr>
          <w:rFonts w:ascii="Stone Sans II ITC Com Bk" w:hAnsi="Stone Sans II ITC Com Bk"/>
        </w:rPr>
      </w:pPr>
      <w:r w:rsidRPr="00997267">
        <w:rPr>
          <w:rFonts w:ascii="Stone Sans II ITC Com Bk" w:hAnsi="Stone Sans II ITC Com Bk"/>
          <w:noProof/>
        </w:rPr>
        <w:drawing>
          <wp:inline distT="0" distB="0" distL="0" distR="0" wp14:anchorId="4CB1EDF1" wp14:editId="1560F959">
            <wp:extent cx="1962150" cy="1084244"/>
            <wp:effectExtent l="0" t="0" r="0" b="1905"/>
            <wp:docPr id="8436554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55466" name=""/>
                    <pic:cNvPicPr/>
                  </pic:nvPicPr>
                  <pic:blipFill>
                    <a:blip r:embed="rId17"/>
                    <a:stretch>
                      <a:fillRect/>
                    </a:stretch>
                  </pic:blipFill>
                  <pic:spPr>
                    <a:xfrm>
                      <a:off x="0" y="0"/>
                      <a:ext cx="1973949" cy="1090764"/>
                    </a:xfrm>
                    <a:prstGeom prst="rect">
                      <a:avLst/>
                    </a:prstGeom>
                  </pic:spPr>
                </pic:pic>
              </a:graphicData>
            </a:graphic>
          </wp:inline>
        </w:drawing>
      </w:r>
    </w:p>
    <w:p w14:paraId="21E250E3" w14:textId="1729B099" w:rsidR="004F5302" w:rsidRPr="007246CF" w:rsidRDefault="00997267" w:rsidP="004F5302">
      <w:pPr>
        <w:rPr>
          <w:rFonts w:ascii="Stone Sans II ITC Com Bk" w:hAnsi="Stone Sans II ITC Com Bk"/>
        </w:rPr>
      </w:pPr>
      <w:r>
        <w:rPr>
          <w:rFonts w:ascii="Stone Sans II ITC Com Bk" w:hAnsi="Stone Sans II ITC Com Bk"/>
        </w:rPr>
        <w:t xml:space="preserve">BU: ACO Profiline 2.0 aus Edelstahlt mit Maschenrost </w:t>
      </w:r>
      <w:r w:rsidR="00314890">
        <w:rPr>
          <w:rFonts w:ascii="Stone Sans II ITC Com Bk" w:hAnsi="Stone Sans II ITC Com Bk"/>
        </w:rPr>
        <w:t>und ohne Verriegelung</w:t>
      </w:r>
      <w:r w:rsidR="00D2484F" w:rsidRPr="007246CF">
        <w:rPr>
          <w:rFonts w:ascii="Stone Sans II ITC Com Bk" w:hAnsi="Stone Sans II ITC Com Bk"/>
        </w:rPr>
        <w:br/>
      </w: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2C6E975F" w14:textId="40FF6CEF" w:rsidR="004D0869" w:rsidRDefault="004D0869" w:rsidP="004D0869">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65534CED" w14:textId="0E545634" w:rsidR="004D0869" w:rsidRPr="004D0869" w:rsidRDefault="004D0869" w:rsidP="004D0869">
            <w:pPr>
              <w:rPr>
                <w:rFonts w:ascii="Stone Sans II ITC Com Lt" w:hAnsi="Stone Sans II ITC Com Lt"/>
                <w:iCs/>
                <w:sz w:val="20"/>
                <w:szCs w:val="20"/>
              </w:rPr>
            </w:pPr>
          </w:p>
        </w:tc>
      </w:tr>
    </w:tbl>
    <w:p w14:paraId="53D300CE" w14:textId="77777777" w:rsidR="004D0869" w:rsidRDefault="004D0869" w:rsidP="004D0869">
      <w:pPr>
        <w:rPr>
          <w:rFonts w:ascii="Stone Sans II ITC Com Bk" w:hAnsi="Stone Sans II ITC Com Bk"/>
        </w:rPr>
      </w:pPr>
    </w:p>
    <w:p w14:paraId="03CED72B" w14:textId="77777777" w:rsidR="004D0869"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Pr="000B433D">
        <w:rPr>
          <w:rFonts w:ascii="Stone Sans II ITC Com Lt" w:eastAsia="Times New Roman" w:hAnsi="Stone Sans II ITC Com Lt" w:cs="Arial"/>
          <w:sz w:val="20"/>
          <w:szCs w:val="24"/>
          <w:lang w:eastAsia="de-DE"/>
        </w:rPr>
        <w:t>:</w:t>
      </w:r>
    </w:p>
    <w:p w14:paraId="312144BE" w14:textId="77777777" w:rsidR="004D0869" w:rsidRPr="000B433D"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454F0710" w14:textId="68BAEAD6" w:rsidR="004D0869" w:rsidRPr="004D0869" w:rsidRDefault="004D0869" w:rsidP="004D0869">
      <w:pPr>
        <w:rPr>
          <w:rFonts w:ascii="Stone Sans II ITC Com Bk" w:hAnsi="Stone Sans II ITC Com Bk"/>
        </w:rPr>
      </w:pPr>
      <w:r w:rsidRPr="00D9042E">
        <w:rPr>
          <w:rFonts w:ascii="Stone Sans II ITC Com Lt" w:hAnsi="Stone Sans II ITC Com Lt" w:cs="Arial"/>
          <w:b/>
          <w:bCs/>
          <w:color w:val="000000" w:themeColor="text1"/>
          <w:sz w:val="20"/>
          <w:lang w:val="en-US"/>
        </w:rPr>
        <w:t xml:space="preserve">Tanja Holst </w:t>
      </w:r>
      <w:r w:rsidRPr="00D9042E">
        <w:rPr>
          <w:rFonts w:ascii="Stone Sans II ITC Com Lt" w:hAnsi="Stone Sans II ITC Com Lt" w:cs="Arial"/>
          <w:b/>
          <w:bCs/>
          <w:color w:val="000000" w:themeColor="text1"/>
          <w:sz w:val="20"/>
          <w:lang w:val="en-US"/>
        </w:rPr>
        <w:br/>
      </w:r>
      <w:r>
        <w:rPr>
          <w:rFonts w:ascii="Stone Sans II ITC Com Lt" w:hAnsi="Stone Sans II ITC Com Lt" w:cs="Arial"/>
          <w:color w:val="000000" w:themeColor="text1"/>
          <w:sz w:val="20"/>
          <w:lang w:val="en-US"/>
        </w:rPr>
        <w:t>Public Relations - Fachpresse</w:t>
      </w:r>
      <w:r>
        <w:rPr>
          <w:rFonts w:ascii="Stone Sans II ITC Com Lt" w:hAnsi="Stone Sans II ITC Com Lt" w:cs="Arial"/>
          <w:color w:val="000000"/>
          <w:sz w:val="20"/>
          <w:shd w:val="clear" w:color="auto" w:fill="FFFFFF"/>
          <w:lang w:val="en-US"/>
        </w:rPr>
        <w:br/>
      </w:r>
      <w:r w:rsidRPr="006E02FD">
        <w:rPr>
          <w:rFonts w:ascii="Stone Sans II ITC Com Lt" w:hAnsi="Stone Sans II ITC Com Lt" w:cs="Arial"/>
          <w:color w:val="000000"/>
          <w:sz w:val="20"/>
          <w:shd w:val="clear" w:color="auto" w:fill="FFFFFF"/>
          <w:lang w:val="en-US"/>
        </w:rPr>
        <w:t>T</w:t>
      </w:r>
      <w:r w:rsidRPr="006E02FD">
        <w:rPr>
          <w:rFonts w:ascii="Stone Sans II ITC Com Lt" w:hAnsi="Stone Sans II ITC Com Lt" w:cs="Arial"/>
          <w:color w:val="000000" w:themeColor="text1"/>
          <w:sz w:val="20"/>
          <w:shd w:val="clear" w:color="auto" w:fill="FFFFFF"/>
          <w:lang w:val="en-US"/>
        </w:rPr>
        <w:t>el.: </w:t>
      </w:r>
      <w:hyperlink r:id="rId18" w:history="1">
        <w:r w:rsidRPr="006E02FD">
          <w:rPr>
            <w:rStyle w:val="Hyperlink"/>
            <w:rFonts w:ascii="Stone Sans II ITC Com Lt" w:hAnsi="Stone Sans II ITC Com Lt" w:cs="Arial"/>
            <w:color w:val="000000" w:themeColor="text1"/>
            <w:sz w:val="20"/>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shd w:val="clear" w:color="auto" w:fill="FFFFFF"/>
          <w:lang w:val="en-US"/>
        </w:rPr>
        <w:t>197</w:t>
      </w:r>
      <w:r w:rsidRPr="006E02FD">
        <w:rPr>
          <w:rStyle w:val="Hyperlink"/>
          <w:rFonts w:ascii="Stone Sans II ITC Com Lt" w:hAnsi="Stone Sans II ITC Com Lt" w:cs="Arial"/>
          <w:color w:val="000000" w:themeColor="text1"/>
          <w:sz w:val="20"/>
          <w:shd w:val="clear" w:color="auto" w:fill="FFFFFF"/>
          <w:lang w:val="en-US"/>
        </w:rPr>
        <w:br/>
        <w:t>Mobil: +49 151 64738331</w:t>
      </w:r>
      <w:r w:rsidRPr="006E02FD">
        <w:rPr>
          <w:rFonts w:ascii="Stone Sans II ITC Com Lt" w:hAnsi="Stone Sans II ITC Com Lt" w:cs="Arial"/>
          <w:color w:val="000000"/>
          <w:sz w:val="17"/>
          <w:szCs w:val="17"/>
          <w:lang w:val="en-US" w:eastAsia="de-DE"/>
        </w:rPr>
        <w:t xml:space="preserve"> </w:t>
      </w:r>
      <w:r w:rsidRPr="006E02FD">
        <w:rPr>
          <w:rFonts w:ascii="Stone Sans II ITC Com Lt" w:hAnsi="Stone Sans II ITC Com Lt" w:cs="Arial"/>
          <w:color w:val="000000"/>
          <w:sz w:val="17"/>
          <w:szCs w:val="17"/>
          <w:lang w:val="en-US" w:eastAsia="de-DE"/>
        </w:rPr>
        <w:br/>
      </w:r>
      <w:r w:rsidRPr="006E02FD">
        <w:rPr>
          <w:rFonts w:ascii="Stone Sans II ITC Com Lt" w:hAnsi="Stone Sans II ITC Com Lt" w:cs="Arial"/>
          <w:color w:val="000000" w:themeColor="text1"/>
          <w:sz w:val="20"/>
          <w:shd w:val="clear" w:color="auto" w:fill="FFFFFF"/>
          <w:lang w:val="en-US"/>
        </w:rPr>
        <w:t>E-Mail: </w:t>
      </w:r>
      <w:hyperlink r:id="rId19" w:history="1">
        <w:r w:rsidRPr="006E02FD">
          <w:rPr>
            <w:rStyle w:val="Hyperlink"/>
            <w:rFonts w:ascii="Stone Sans II ITC Com Lt" w:hAnsi="Stone Sans II ITC Com Lt" w:cs="Arial"/>
            <w:sz w:val="20"/>
            <w:shd w:val="clear" w:color="auto" w:fill="FFFFFF"/>
            <w:lang w:val="en-US"/>
          </w:rPr>
          <w:t>tanja.holst@aco.com</w:t>
        </w:r>
      </w:hyperlink>
    </w:p>
    <w:sectPr w:rsidR="004D0869" w:rsidRPr="004D086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49EAE" w14:textId="77777777" w:rsidR="0004124B" w:rsidRDefault="0004124B" w:rsidP="004D0869">
      <w:pPr>
        <w:spacing w:after="0" w:line="240" w:lineRule="auto"/>
      </w:pPr>
      <w:r>
        <w:separator/>
      </w:r>
    </w:p>
  </w:endnote>
  <w:endnote w:type="continuationSeparator" w:id="0">
    <w:p w14:paraId="20F10C73" w14:textId="77777777" w:rsidR="0004124B" w:rsidRDefault="0004124B" w:rsidP="004D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ne Sans II ITC Com Bk">
    <w:panose1 w:val="020B0502040503020204"/>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NewsGothic,Bold">
    <w:panose1 w:val="00000000000000000000"/>
    <w:charset w:val="00"/>
    <w:family w:val="auto"/>
    <w:notTrueType/>
    <w:pitch w:val="default"/>
    <w:sig w:usb0="00000003" w:usb1="00000000" w:usb2="00000000" w:usb3="00000000" w:csb0="00000001"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93EE" w14:textId="5718188A" w:rsidR="004D0869" w:rsidRDefault="004D0869">
    <w:pPr>
      <w:pStyle w:val="Fuzeile"/>
    </w:pPr>
    <w:r>
      <w:rPr>
        <w:noProof/>
        <w:lang w:eastAsia="de-DE"/>
      </w:rPr>
      <w:drawing>
        <wp:anchor distT="0" distB="0" distL="114300" distR="114300" simplePos="0" relativeHeight="251667456"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3360"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9264"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DAA9D" w14:textId="77777777" w:rsidR="0004124B" w:rsidRDefault="0004124B" w:rsidP="004D0869">
      <w:pPr>
        <w:spacing w:after="0" w:line="240" w:lineRule="auto"/>
      </w:pPr>
      <w:r>
        <w:separator/>
      </w:r>
    </w:p>
  </w:footnote>
  <w:footnote w:type="continuationSeparator" w:id="0">
    <w:p w14:paraId="40AA05A4" w14:textId="77777777" w:rsidR="0004124B" w:rsidRDefault="0004124B" w:rsidP="004D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A0377"/>
    <w:multiLevelType w:val="hybridMultilevel"/>
    <w:tmpl w:val="52A058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BA4466"/>
    <w:multiLevelType w:val="hybridMultilevel"/>
    <w:tmpl w:val="CB121502"/>
    <w:lvl w:ilvl="0" w:tplc="37844ECE">
      <w:numFmt w:val="bullet"/>
      <w:lvlText w:val="-"/>
      <w:lvlJc w:val="left"/>
      <w:pPr>
        <w:ind w:left="720" w:hanging="360"/>
      </w:pPr>
      <w:rPr>
        <w:rFonts w:ascii="Stone Sans II ITC Com Bk" w:eastAsiaTheme="minorHAnsi" w:hAnsi="Stone Sans II ITC Com B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FB24FC"/>
    <w:multiLevelType w:val="multilevel"/>
    <w:tmpl w:val="2E5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552527"/>
    <w:multiLevelType w:val="multilevel"/>
    <w:tmpl w:val="FEB4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5978310">
    <w:abstractNumId w:val="2"/>
  </w:num>
  <w:num w:numId="2" w16cid:durableId="796752753">
    <w:abstractNumId w:val="3"/>
  </w:num>
  <w:num w:numId="3" w16cid:durableId="891385013">
    <w:abstractNumId w:val="1"/>
  </w:num>
  <w:num w:numId="4" w16cid:durableId="152575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33B57"/>
    <w:rsid w:val="000408D8"/>
    <w:rsid w:val="0004124B"/>
    <w:rsid w:val="00051ADA"/>
    <w:rsid w:val="000715DB"/>
    <w:rsid w:val="00096903"/>
    <w:rsid w:val="000F232F"/>
    <w:rsid w:val="00127640"/>
    <w:rsid w:val="00127A97"/>
    <w:rsid w:val="001C2FCC"/>
    <w:rsid w:val="001F1934"/>
    <w:rsid w:val="00226D9B"/>
    <w:rsid w:val="0023682F"/>
    <w:rsid w:val="00261E8F"/>
    <w:rsid w:val="002A4A22"/>
    <w:rsid w:val="002D2F6E"/>
    <w:rsid w:val="002D5AA2"/>
    <w:rsid w:val="002F5509"/>
    <w:rsid w:val="00314890"/>
    <w:rsid w:val="00337181"/>
    <w:rsid w:val="003C511C"/>
    <w:rsid w:val="003E7BDF"/>
    <w:rsid w:val="00414926"/>
    <w:rsid w:val="00421F78"/>
    <w:rsid w:val="00465C9C"/>
    <w:rsid w:val="004D0869"/>
    <w:rsid w:val="004E3270"/>
    <w:rsid w:val="004E39EF"/>
    <w:rsid w:val="004F5302"/>
    <w:rsid w:val="00521A6F"/>
    <w:rsid w:val="00561F15"/>
    <w:rsid w:val="0058228F"/>
    <w:rsid w:val="005E0B36"/>
    <w:rsid w:val="00624302"/>
    <w:rsid w:val="00647AFE"/>
    <w:rsid w:val="006610C1"/>
    <w:rsid w:val="006A6AE0"/>
    <w:rsid w:val="006A7D65"/>
    <w:rsid w:val="006E5CA9"/>
    <w:rsid w:val="006E7BAC"/>
    <w:rsid w:val="007118AD"/>
    <w:rsid w:val="007246CF"/>
    <w:rsid w:val="00750854"/>
    <w:rsid w:val="00771A82"/>
    <w:rsid w:val="00787734"/>
    <w:rsid w:val="007B134D"/>
    <w:rsid w:val="007B48BC"/>
    <w:rsid w:val="007C6C65"/>
    <w:rsid w:val="008204A4"/>
    <w:rsid w:val="0082407B"/>
    <w:rsid w:val="00852F7A"/>
    <w:rsid w:val="00874A18"/>
    <w:rsid w:val="00884DD1"/>
    <w:rsid w:val="008A4998"/>
    <w:rsid w:val="008B77C5"/>
    <w:rsid w:val="008F5255"/>
    <w:rsid w:val="009038F2"/>
    <w:rsid w:val="00954923"/>
    <w:rsid w:val="009635C2"/>
    <w:rsid w:val="0099598D"/>
    <w:rsid w:val="00997267"/>
    <w:rsid w:val="00A00196"/>
    <w:rsid w:val="00A109D7"/>
    <w:rsid w:val="00A21105"/>
    <w:rsid w:val="00A556E0"/>
    <w:rsid w:val="00A63A99"/>
    <w:rsid w:val="00A71140"/>
    <w:rsid w:val="00A8622E"/>
    <w:rsid w:val="00AC17E2"/>
    <w:rsid w:val="00AE4874"/>
    <w:rsid w:val="00B5704F"/>
    <w:rsid w:val="00B65380"/>
    <w:rsid w:val="00BB0C59"/>
    <w:rsid w:val="00BF1BCE"/>
    <w:rsid w:val="00C22BE8"/>
    <w:rsid w:val="00C33178"/>
    <w:rsid w:val="00C452A5"/>
    <w:rsid w:val="00CA40B3"/>
    <w:rsid w:val="00CB2977"/>
    <w:rsid w:val="00CC1626"/>
    <w:rsid w:val="00CE6D58"/>
    <w:rsid w:val="00CF15E1"/>
    <w:rsid w:val="00D128EC"/>
    <w:rsid w:val="00D1619A"/>
    <w:rsid w:val="00D2484F"/>
    <w:rsid w:val="00D25A42"/>
    <w:rsid w:val="00D4037B"/>
    <w:rsid w:val="00D47700"/>
    <w:rsid w:val="00D54F1A"/>
    <w:rsid w:val="00D81645"/>
    <w:rsid w:val="00D8463F"/>
    <w:rsid w:val="00DA469A"/>
    <w:rsid w:val="00DB71FB"/>
    <w:rsid w:val="00DD5F78"/>
    <w:rsid w:val="00DE1278"/>
    <w:rsid w:val="00DF3AF4"/>
    <w:rsid w:val="00E01C5C"/>
    <w:rsid w:val="00E334D3"/>
    <w:rsid w:val="00E722E3"/>
    <w:rsid w:val="00E821A1"/>
    <w:rsid w:val="00EA7476"/>
    <w:rsid w:val="00EE707C"/>
    <w:rsid w:val="00F403FB"/>
    <w:rsid w:val="00F50DB4"/>
    <w:rsid w:val="00F53EE0"/>
    <w:rsid w:val="00F8636F"/>
    <w:rsid w:val="00FC15EE"/>
    <w:rsid w:val="00FF3774"/>
    <w:rsid w:val="00FF44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F9D"/>
  <w15:chartTrackingRefBased/>
  <w15:docId w15:val="{5B5BD678-1B6F-4CDC-B473-8BD9394E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 w:type="paragraph" w:styleId="Listenabsatz">
    <w:name w:val="List Paragraph"/>
    <w:basedOn w:val="Standard"/>
    <w:uiPriority w:val="34"/>
    <w:qFormat/>
    <w:rsid w:val="001C2FCC"/>
    <w:pPr>
      <w:ind w:left="720"/>
      <w:contextualSpacing/>
    </w:pPr>
  </w:style>
  <w:style w:type="character" w:styleId="BesuchterLink">
    <w:name w:val="FollowedHyperlink"/>
    <w:basedOn w:val="Absatz-Standardschriftart"/>
    <w:uiPriority w:val="99"/>
    <w:semiHidden/>
    <w:unhideWhenUsed/>
    <w:rsid w:val="00BB0C59"/>
    <w:rPr>
      <w:color w:val="954F72" w:themeColor="followedHyperlink"/>
      <w:u w:val="single"/>
    </w:rPr>
  </w:style>
  <w:style w:type="character" w:styleId="NichtaufgelsteErwhnung">
    <w:name w:val="Unresolved Mention"/>
    <w:basedOn w:val="Absatz-Standardschriftart"/>
    <w:uiPriority w:val="99"/>
    <w:semiHidden/>
    <w:unhideWhenUsed/>
    <w:rsid w:val="00BB0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912626">
      <w:bodyDiv w:val="1"/>
      <w:marLeft w:val="0"/>
      <w:marRight w:val="0"/>
      <w:marTop w:val="0"/>
      <w:marBottom w:val="0"/>
      <w:divBdr>
        <w:top w:val="none" w:sz="0" w:space="0" w:color="auto"/>
        <w:left w:val="none" w:sz="0" w:space="0" w:color="auto"/>
        <w:bottom w:val="none" w:sz="0" w:space="0" w:color="auto"/>
        <w:right w:val="none" w:sz="0" w:space="0" w:color="auto"/>
      </w:divBdr>
      <w:divsChild>
        <w:div w:id="574248059">
          <w:marLeft w:val="0"/>
          <w:marRight w:val="0"/>
          <w:marTop w:val="0"/>
          <w:marBottom w:val="0"/>
          <w:divBdr>
            <w:top w:val="none" w:sz="0" w:space="0" w:color="auto"/>
            <w:left w:val="none" w:sz="0" w:space="0" w:color="auto"/>
            <w:bottom w:val="none" w:sz="0" w:space="0" w:color="auto"/>
            <w:right w:val="none" w:sz="0" w:space="0" w:color="auto"/>
          </w:divBdr>
        </w:div>
      </w:divsChild>
    </w:div>
    <w:div w:id="349645962">
      <w:bodyDiv w:val="1"/>
      <w:marLeft w:val="0"/>
      <w:marRight w:val="0"/>
      <w:marTop w:val="0"/>
      <w:marBottom w:val="0"/>
      <w:divBdr>
        <w:top w:val="none" w:sz="0" w:space="0" w:color="auto"/>
        <w:left w:val="none" w:sz="0" w:space="0" w:color="auto"/>
        <w:bottom w:val="none" w:sz="0" w:space="0" w:color="auto"/>
        <w:right w:val="none" w:sz="0" w:space="0" w:color="auto"/>
      </w:divBdr>
      <w:divsChild>
        <w:div w:id="1087650497">
          <w:marLeft w:val="0"/>
          <w:marRight w:val="0"/>
          <w:marTop w:val="0"/>
          <w:marBottom w:val="0"/>
          <w:divBdr>
            <w:top w:val="none" w:sz="0" w:space="0" w:color="auto"/>
            <w:left w:val="none" w:sz="0" w:space="0" w:color="auto"/>
            <w:bottom w:val="none" w:sz="0" w:space="0" w:color="auto"/>
            <w:right w:val="none" w:sz="0" w:space="0" w:color="auto"/>
          </w:divBdr>
        </w:div>
      </w:divsChild>
    </w:div>
    <w:div w:id="365523902">
      <w:bodyDiv w:val="1"/>
      <w:marLeft w:val="0"/>
      <w:marRight w:val="0"/>
      <w:marTop w:val="0"/>
      <w:marBottom w:val="0"/>
      <w:divBdr>
        <w:top w:val="none" w:sz="0" w:space="0" w:color="auto"/>
        <w:left w:val="none" w:sz="0" w:space="0" w:color="auto"/>
        <w:bottom w:val="none" w:sz="0" w:space="0" w:color="auto"/>
        <w:right w:val="none" w:sz="0" w:space="0" w:color="auto"/>
      </w:divBdr>
      <w:divsChild>
        <w:div w:id="117261738">
          <w:marLeft w:val="0"/>
          <w:marRight w:val="0"/>
          <w:marTop w:val="0"/>
          <w:marBottom w:val="0"/>
          <w:divBdr>
            <w:top w:val="none" w:sz="0" w:space="0" w:color="auto"/>
            <w:left w:val="none" w:sz="0" w:space="0" w:color="auto"/>
            <w:bottom w:val="none" w:sz="0" w:space="0" w:color="auto"/>
            <w:right w:val="none" w:sz="0" w:space="0" w:color="auto"/>
          </w:divBdr>
        </w:div>
      </w:divsChild>
    </w:div>
    <w:div w:id="52772111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36">
          <w:marLeft w:val="0"/>
          <w:marRight w:val="0"/>
          <w:marTop w:val="0"/>
          <w:marBottom w:val="0"/>
          <w:divBdr>
            <w:top w:val="none" w:sz="0" w:space="0" w:color="auto"/>
            <w:left w:val="none" w:sz="0" w:space="0" w:color="auto"/>
            <w:bottom w:val="none" w:sz="0" w:space="0" w:color="auto"/>
            <w:right w:val="none" w:sz="0" w:space="0" w:color="auto"/>
          </w:divBdr>
        </w:div>
        <w:div w:id="1418286490">
          <w:marLeft w:val="0"/>
          <w:marRight w:val="0"/>
          <w:marTop w:val="0"/>
          <w:marBottom w:val="0"/>
          <w:divBdr>
            <w:top w:val="none" w:sz="0" w:space="0" w:color="auto"/>
            <w:left w:val="none" w:sz="0" w:space="0" w:color="auto"/>
            <w:bottom w:val="none" w:sz="0" w:space="0" w:color="auto"/>
            <w:right w:val="none" w:sz="0" w:space="0" w:color="auto"/>
          </w:divBdr>
          <w:divsChild>
            <w:div w:id="8944844">
              <w:marLeft w:val="-180"/>
              <w:marRight w:val="-180"/>
              <w:marTop w:val="0"/>
              <w:marBottom w:val="0"/>
              <w:divBdr>
                <w:top w:val="none" w:sz="0" w:space="0" w:color="auto"/>
                <w:left w:val="none" w:sz="0" w:space="0" w:color="auto"/>
                <w:bottom w:val="none" w:sz="0" w:space="0" w:color="auto"/>
                <w:right w:val="none" w:sz="0" w:space="0" w:color="auto"/>
              </w:divBdr>
              <w:divsChild>
                <w:div w:id="11332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51350">
      <w:bodyDiv w:val="1"/>
      <w:marLeft w:val="0"/>
      <w:marRight w:val="0"/>
      <w:marTop w:val="0"/>
      <w:marBottom w:val="0"/>
      <w:divBdr>
        <w:top w:val="none" w:sz="0" w:space="0" w:color="auto"/>
        <w:left w:val="none" w:sz="0" w:space="0" w:color="auto"/>
        <w:bottom w:val="none" w:sz="0" w:space="0" w:color="auto"/>
        <w:right w:val="none" w:sz="0" w:space="0" w:color="auto"/>
      </w:divBdr>
    </w:div>
    <w:div w:id="675038213">
      <w:bodyDiv w:val="1"/>
      <w:marLeft w:val="0"/>
      <w:marRight w:val="0"/>
      <w:marTop w:val="0"/>
      <w:marBottom w:val="0"/>
      <w:divBdr>
        <w:top w:val="none" w:sz="0" w:space="0" w:color="auto"/>
        <w:left w:val="none" w:sz="0" w:space="0" w:color="auto"/>
        <w:bottom w:val="none" w:sz="0" w:space="0" w:color="auto"/>
        <w:right w:val="none" w:sz="0" w:space="0" w:color="auto"/>
      </w:divBdr>
    </w:div>
    <w:div w:id="960764141">
      <w:bodyDiv w:val="1"/>
      <w:marLeft w:val="0"/>
      <w:marRight w:val="0"/>
      <w:marTop w:val="0"/>
      <w:marBottom w:val="0"/>
      <w:divBdr>
        <w:top w:val="none" w:sz="0" w:space="0" w:color="auto"/>
        <w:left w:val="none" w:sz="0" w:space="0" w:color="auto"/>
        <w:bottom w:val="none" w:sz="0" w:space="0" w:color="auto"/>
        <w:right w:val="none" w:sz="0" w:space="0" w:color="auto"/>
      </w:divBdr>
    </w:div>
    <w:div w:id="1130562164">
      <w:bodyDiv w:val="1"/>
      <w:marLeft w:val="0"/>
      <w:marRight w:val="0"/>
      <w:marTop w:val="0"/>
      <w:marBottom w:val="0"/>
      <w:divBdr>
        <w:top w:val="none" w:sz="0" w:space="0" w:color="auto"/>
        <w:left w:val="none" w:sz="0" w:space="0" w:color="auto"/>
        <w:bottom w:val="none" w:sz="0" w:space="0" w:color="auto"/>
        <w:right w:val="none" w:sz="0" w:space="0" w:color="auto"/>
      </w:divBdr>
      <w:divsChild>
        <w:div w:id="932468066">
          <w:marLeft w:val="0"/>
          <w:marRight w:val="0"/>
          <w:marTop w:val="0"/>
          <w:marBottom w:val="0"/>
          <w:divBdr>
            <w:top w:val="none" w:sz="0" w:space="0" w:color="auto"/>
            <w:left w:val="none" w:sz="0" w:space="0" w:color="auto"/>
            <w:bottom w:val="none" w:sz="0" w:space="0" w:color="auto"/>
            <w:right w:val="none" w:sz="0" w:space="0" w:color="auto"/>
          </w:divBdr>
        </w:div>
        <w:div w:id="242181863">
          <w:marLeft w:val="0"/>
          <w:marRight w:val="0"/>
          <w:marTop w:val="0"/>
          <w:marBottom w:val="0"/>
          <w:divBdr>
            <w:top w:val="none" w:sz="0" w:space="0" w:color="auto"/>
            <w:left w:val="none" w:sz="0" w:space="0" w:color="auto"/>
            <w:bottom w:val="none" w:sz="0" w:space="0" w:color="auto"/>
            <w:right w:val="none" w:sz="0" w:space="0" w:color="auto"/>
          </w:divBdr>
          <w:divsChild>
            <w:div w:id="161162736">
              <w:marLeft w:val="-180"/>
              <w:marRight w:val="-180"/>
              <w:marTop w:val="0"/>
              <w:marBottom w:val="0"/>
              <w:divBdr>
                <w:top w:val="none" w:sz="0" w:space="0" w:color="auto"/>
                <w:left w:val="none" w:sz="0" w:space="0" w:color="auto"/>
                <w:bottom w:val="none" w:sz="0" w:space="0" w:color="auto"/>
                <w:right w:val="none" w:sz="0" w:space="0" w:color="auto"/>
              </w:divBdr>
              <w:divsChild>
                <w:div w:id="10429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
    <w:div w:id="1938100904">
      <w:bodyDiv w:val="1"/>
      <w:marLeft w:val="0"/>
      <w:marRight w:val="0"/>
      <w:marTop w:val="0"/>
      <w:marBottom w:val="0"/>
      <w:divBdr>
        <w:top w:val="none" w:sz="0" w:space="0" w:color="auto"/>
        <w:left w:val="none" w:sz="0" w:space="0" w:color="auto"/>
        <w:bottom w:val="none" w:sz="0" w:space="0" w:color="auto"/>
        <w:right w:val="none" w:sz="0" w:space="0" w:color="auto"/>
      </w:divBdr>
    </w:div>
    <w:div w:id="2101873125">
      <w:bodyDiv w:val="1"/>
      <w:marLeft w:val="0"/>
      <w:marRight w:val="0"/>
      <w:marTop w:val="0"/>
      <w:marBottom w:val="0"/>
      <w:divBdr>
        <w:top w:val="none" w:sz="0" w:space="0" w:color="auto"/>
        <w:left w:val="none" w:sz="0" w:space="0" w:color="auto"/>
        <w:bottom w:val="none" w:sz="0" w:space="0" w:color="auto"/>
        <w:right w:val="none" w:sz="0" w:space="0" w:color="auto"/>
      </w:divBdr>
      <w:divsChild>
        <w:div w:id="782576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lanungshelfer-fensteranschluss.de/" TargetMode="External"/><Relationship Id="rId18" Type="http://schemas.openxmlformats.org/officeDocument/2006/relationships/hyperlink" Target="tel:+494331354174"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ift-rosenheim.de/arbeitskreis-schnittstelle-bauwerksabdichtung-baukoerperanschluss-bodentiefer-element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o.de/anwendungen/fassadenentwaesserung"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yperlink" Target="mailto:tanja.holst@aco.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6.jpeg"/><Relationship Id="rId1" Type="http://schemas.openxmlformats.org/officeDocument/2006/relationships/hyperlink" Target="https://www.pinterest.de/aco_group/" TargetMode="External"/><Relationship Id="rId6" Type="http://schemas.openxmlformats.org/officeDocument/2006/relationships/image" Target="media/image8.jpeg"/><Relationship Id="rId5" Type="http://schemas.openxmlformats.org/officeDocument/2006/relationships/hyperlink" Target="https://www.instagram.com/aco_gmbh/" TargetMode="External"/><Relationship Id="rId10" Type="http://schemas.openxmlformats.org/officeDocument/2006/relationships/image" Target="media/image10.jpeg"/><Relationship Id="rId4" Type="http://schemas.openxmlformats.org/officeDocument/2006/relationships/image" Target="media/image7.jpeg"/><Relationship Id="rId9" Type="http://schemas.openxmlformats.org/officeDocument/2006/relationships/hyperlink" Target="https://www.linkedin.com/company/925405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DD36305749DF438436132E560B35AF" ma:contentTypeVersion="16" ma:contentTypeDescription="Ein neues Dokument erstellen." ma:contentTypeScope="" ma:versionID="f1482db232411e241a8e9afb6ad4ae91">
  <xsd:schema xmlns:xsd="http://www.w3.org/2001/XMLSchema" xmlns:xs="http://www.w3.org/2001/XMLSchema" xmlns:p="http://schemas.microsoft.com/office/2006/metadata/properties" xmlns:ns2="302c2ba9-0821-44b8-bce8-78036e4dc9b1" xmlns:ns3="c2a3673c-1a77-400d-9cd5-c0ea6828ea9c" targetNamespace="http://schemas.microsoft.com/office/2006/metadata/properties" ma:root="true" ma:fieldsID="4bdd8b423f73bb6a32555d03ec7ba31d" ns2:_="" ns3:_="">
    <xsd:import namespace="302c2ba9-0821-44b8-bce8-78036e4dc9b1"/>
    <xsd:import namespace="c2a3673c-1a77-400d-9cd5-c0ea6828ea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c2ba9-0821-44b8-bce8-78036e4dc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5da4b1dc-eab0-4e19-a590-38a703476e0a"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a3673c-1a77-400d-9cd5-c0ea6828ea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91cd277-1a1b-4123-bd99-8e944b4dd903}" ma:internalName="TaxCatchAll" ma:showField="CatchAllData" ma:web="c2a3673c-1a77-400d-9cd5-c0ea6828ea9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2c2ba9-0821-44b8-bce8-78036e4dc9b1">
      <Terms xmlns="http://schemas.microsoft.com/office/infopath/2007/PartnerControls"/>
    </lcf76f155ced4ddcb4097134ff3c332f>
    <TaxCatchAll xmlns="c2a3673c-1a77-400d-9cd5-c0ea6828ea9c" xsi:nil="true"/>
  </documentManagement>
</p:properties>
</file>

<file path=customXml/itemProps1.xml><?xml version="1.0" encoding="utf-8"?>
<ds:datastoreItem xmlns:ds="http://schemas.openxmlformats.org/officeDocument/2006/customXml" ds:itemID="{DD4B0867-8983-48BD-91ED-03D0FA2EC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c2ba9-0821-44b8-bce8-78036e4dc9b1"/>
    <ds:schemaRef ds:uri="c2a3673c-1a77-400d-9cd5-c0ea6828e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02108D-8D03-4B1C-8A65-39CE0E609985}">
  <ds:schemaRefs>
    <ds:schemaRef ds:uri="http://schemas.microsoft.com/sharepoint/v3/contenttype/forms"/>
  </ds:schemaRefs>
</ds:datastoreItem>
</file>

<file path=customXml/itemProps3.xml><?xml version="1.0" encoding="utf-8"?>
<ds:datastoreItem xmlns:ds="http://schemas.openxmlformats.org/officeDocument/2006/customXml" ds:itemID="{A3D4F4C3-CDE1-42B1-BA9B-A6C48B0F3FAB}">
  <ds:schemaRefs>
    <ds:schemaRef ds:uri="http://schemas.microsoft.com/office/2006/metadata/properties"/>
    <ds:schemaRef ds:uri="http://schemas.microsoft.com/office/infopath/2007/PartnerControls"/>
    <ds:schemaRef ds:uri="302c2ba9-0821-44b8-bce8-78036e4dc9b1"/>
    <ds:schemaRef ds:uri="c2a3673c-1a77-400d-9cd5-c0ea6828ea9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739</Words>
  <Characters>4661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22</cp:revision>
  <dcterms:created xsi:type="dcterms:W3CDTF">2025-09-10T05:28:00Z</dcterms:created>
  <dcterms:modified xsi:type="dcterms:W3CDTF">2025-09-11T07:59:00Z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y fmtid="{D5CDD505-2E9C-101B-9397-08002B2CF9AE}" pid="9" name="ContentTypeId">
    <vt:lpwstr>0x0101008DDD36305749DF438436132E560B35AF</vt:lpwstr>
  </property>
  <property fmtid="{D5CDD505-2E9C-101B-9397-08002B2CF9AE}" pid="10" name="MediaServiceImageTags">
    <vt:lpwstr/>
  </property>
</Properties>
</file>