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77915FC3"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F0F2F59" w14:textId="18C81FB0" w:rsidR="00B16ED4" w:rsidRPr="000B433D" w:rsidRDefault="00E53EA6" w:rsidP="00F13F80">
      <w:pPr>
        <w:rPr>
          <w:rFonts w:ascii="Stone Sans II ITC Com Lt" w:hAnsi="Stone Sans II ITC Com Lt" w:cs="Arial"/>
          <w:color w:val="C00000"/>
          <w:sz w:val="34"/>
          <w:szCs w:val="34"/>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p>
    <w:p w14:paraId="2553FF34" w14:textId="68762DCE" w:rsidR="00F05BFD"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0325C">
        <w:rPr>
          <w:rFonts w:ascii="Stone Sans II ITC Com Lt" w:hAnsi="Stone Sans II ITC Com Lt" w:cs="Arial"/>
          <w:color w:val="000000" w:themeColor="text1"/>
          <w:sz w:val="20"/>
        </w:rPr>
        <w:t xml:space="preserve">, </w:t>
      </w:r>
      <w:r w:rsidR="007D3B6D">
        <w:rPr>
          <w:rFonts w:ascii="Stone Sans II ITC Com Lt" w:hAnsi="Stone Sans II ITC Com Lt" w:cs="Arial"/>
          <w:color w:val="000000" w:themeColor="text1"/>
          <w:sz w:val="20"/>
        </w:rPr>
        <w:t>08.01.2024</w:t>
      </w:r>
    </w:p>
    <w:p w14:paraId="05B14E47" w14:textId="77777777" w:rsidR="00502432" w:rsidRDefault="00502432" w:rsidP="00502432">
      <w:pPr>
        <w:pStyle w:val="Default"/>
        <w:spacing w:line="360" w:lineRule="auto"/>
        <w:rPr>
          <w:rFonts w:ascii="Stone Sans II ITC Com Bk" w:hAnsi="Stone Sans II ITC Com Bk"/>
        </w:rPr>
      </w:pPr>
    </w:p>
    <w:p w14:paraId="3902AC55" w14:textId="77777777" w:rsidR="00A65D23" w:rsidRDefault="00A65D23" w:rsidP="00502432">
      <w:pPr>
        <w:pStyle w:val="Default"/>
        <w:spacing w:line="360" w:lineRule="auto"/>
        <w:rPr>
          <w:rFonts w:ascii="Stone Sans II ITC Com Bk" w:hAnsi="Stone Sans II ITC Com Bk"/>
          <w:b/>
          <w:bCs/>
        </w:rPr>
      </w:pPr>
    </w:p>
    <w:p w14:paraId="3699FB91" w14:textId="77777777" w:rsidR="00A65D23" w:rsidRPr="00A65D23" w:rsidRDefault="00A65D23" w:rsidP="00A65D23">
      <w:pPr>
        <w:pStyle w:val="Default"/>
        <w:spacing w:line="360" w:lineRule="auto"/>
        <w:rPr>
          <w:rFonts w:ascii="Stone Sans II ITC Com Bk" w:hAnsi="Stone Sans II ITC Com Bk"/>
          <w:b/>
          <w:bCs/>
        </w:rPr>
      </w:pPr>
      <w:r w:rsidRPr="00A65D23">
        <w:rPr>
          <w:rFonts w:ascii="Stone Sans II ITC Com Bk" w:hAnsi="Stone Sans II ITC Com Bk"/>
          <w:b/>
          <w:bCs/>
        </w:rPr>
        <w:t xml:space="preserve">ACO </w:t>
      </w:r>
      <w:proofErr w:type="spellStart"/>
      <w:r w:rsidRPr="00A65D23">
        <w:rPr>
          <w:rFonts w:ascii="Stone Sans II ITC Com Bk" w:hAnsi="Stone Sans II ITC Com Bk"/>
          <w:b/>
          <w:bCs/>
        </w:rPr>
        <w:t>Drain®Box</w:t>
      </w:r>
      <w:proofErr w:type="spellEnd"/>
      <w:r w:rsidRPr="00A65D23">
        <w:rPr>
          <w:rFonts w:ascii="Stone Sans II ITC Com Bk" w:hAnsi="Stone Sans II ITC Com Bk"/>
          <w:b/>
          <w:bCs/>
        </w:rPr>
        <w:t xml:space="preserve"> – der neue Lösungsbaustein für Überflutungs-Hot-Spots</w:t>
      </w:r>
    </w:p>
    <w:p w14:paraId="747DAE24" w14:textId="44F2FDE2" w:rsidR="00502432" w:rsidRPr="00A65D23" w:rsidRDefault="00A65D23" w:rsidP="00502432">
      <w:pPr>
        <w:pStyle w:val="Default"/>
        <w:spacing w:line="360" w:lineRule="auto"/>
        <w:rPr>
          <w:rFonts w:ascii="Stone Sans II ITC Com Bk" w:hAnsi="Stone Sans II ITC Com Bk"/>
          <w:i/>
          <w:iCs/>
        </w:rPr>
      </w:pPr>
      <w:r w:rsidRPr="00A65D23">
        <w:rPr>
          <w:rFonts w:ascii="Stone Sans II ITC Com Bk" w:hAnsi="Stone Sans II ITC Com Bk"/>
          <w:i/>
          <w:iCs/>
        </w:rPr>
        <w:t>Der neuralgische Punkt in der Straßenentwässerung</w:t>
      </w:r>
    </w:p>
    <w:p w14:paraId="6BC31DF9" w14:textId="77777777" w:rsidR="00CA371B" w:rsidRPr="00502432" w:rsidRDefault="00CA371B" w:rsidP="00502432">
      <w:pPr>
        <w:pStyle w:val="Default"/>
        <w:spacing w:line="360" w:lineRule="auto"/>
        <w:rPr>
          <w:rFonts w:ascii="Stone Sans II ITC Com Bk" w:hAnsi="Stone Sans II ITC Com Bk"/>
          <w:b/>
          <w:bCs/>
        </w:rPr>
      </w:pPr>
    </w:p>
    <w:p w14:paraId="3E27280F" w14:textId="2F214A27" w:rsidR="00502432" w:rsidRDefault="00502432" w:rsidP="00502432">
      <w:pPr>
        <w:pStyle w:val="Default"/>
        <w:spacing w:line="360" w:lineRule="auto"/>
        <w:rPr>
          <w:rFonts w:ascii="Stone Sans II ITC Com Bk" w:hAnsi="Stone Sans II ITC Com Bk"/>
        </w:rPr>
      </w:pPr>
      <w:r w:rsidRPr="00502432">
        <w:rPr>
          <w:rFonts w:ascii="Stone Sans II ITC Com Bk" w:hAnsi="Stone Sans II ITC Com Bk"/>
        </w:rPr>
        <w:t xml:space="preserve">Jede Kommune oder Straßen- und Autobahnmeisterei kennt sie, die örtlichen Dauerbrenner und Schlagzeilengaranten nach einem Starkregenereignis – die sogenannten neuralgischen Punkte. Diese Bereiche sorgen innerstädtisch wie auch außerorts auf Fernstraßen für tief stehendes Wasser im Verkehrsbereich und einen kostenintensiven Einsatz der Feuerwehren.  Zudem stellt Wasser auf der Fahrbahn immer ein hohes Risiko für den laufenden Verkehr dar. Doch wie entstehen Überflutungs-Hot-Spots? Mehrere Faktoren stoßen gleichzeitig aufeinander: das Fahrbahngefälle endet im Tiefpunkt, das Straßenbegleitgrün ist ausgeprägt, große versiegelte Flächen und eine kurz bevorstehende Straßenreinigung. Als Folge überfordern die Wassermassen die Straßenabläufe mit den gefüllten Schlammeimern. Bisher wurden Lösungsansätze gewählt wie das Vergrößern der </w:t>
      </w:r>
      <w:proofErr w:type="spellStart"/>
      <w:r w:rsidRPr="00502432">
        <w:rPr>
          <w:rFonts w:ascii="Stone Sans II ITC Com Bk" w:hAnsi="Stone Sans II ITC Com Bk"/>
        </w:rPr>
        <w:t>Einlaufgeometrien</w:t>
      </w:r>
      <w:proofErr w:type="spellEnd"/>
      <w:r w:rsidRPr="00502432">
        <w:rPr>
          <w:rFonts w:ascii="Stone Sans II ITC Com Bk" w:hAnsi="Stone Sans II ITC Com Bk"/>
        </w:rPr>
        <w:t xml:space="preserve">, die Erhöhung der Anzahl von Abläufen oder ein Wechsel auf Entwässerungsrinnen. Ein neues und effektives Entwässerungskonzept ergibt sich mit der ACO </w:t>
      </w:r>
      <w:proofErr w:type="spellStart"/>
      <w:r w:rsidRPr="00502432">
        <w:rPr>
          <w:rFonts w:ascii="Stone Sans II ITC Com Bk" w:hAnsi="Stone Sans II ITC Com Bk"/>
        </w:rPr>
        <w:t>Drain®Box</w:t>
      </w:r>
      <w:proofErr w:type="spellEnd"/>
      <w:r w:rsidRPr="00502432">
        <w:rPr>
          <w:rFonts w:ascii="Stone Sans II ITC Com Bk" w:hAnsi="Stone Sans II ITC Com Bk"/>
        </w:rPr>
        <w:t xml:space="preserve">. Dahinter verbirgt sich die Kombination des bekannten Straßenablaufes ACO </w:t>
      </w:r>
      <w:proofErr w:type="spellStart"/>
      <w:r w:rsidRPr="00502432">
        <w:rPr>
          <w:rFonts w:ascii="Stone Sans II ITC Com Bk" w:hAnsi="Stone Sans II ITC Com Bk"/>
        </w:rPr>
        <w:t>Combipoint</w:t>
      </w:r>
      <w:proofErr w:type="spellEnd"/>
      <w:r w:rsidRPr="00502432">
        <w:rPr>
          <w:rFonts w:ascii="Stone Sans II ITC Com Bk" w:hAnsi="Stone Sans II ITC Com Bk"/>
        </w:rPr>
        <w:t xml:space="preserve"> PP und der Hohlbordrinne ACO </w:t>
      </w:r>
      <w:proofErr w:type="spellStart"/>
      <w:r w:rsidRPr="00502432">
        <w:rPr>
          <w:rFonts w:ascii="Stone Sans II ITC Com Bk" w:hAnsi="Stone Sans II ITC Com Bk"/>
        </w:rPr>
        <w:t>KerbDrain</w:t>
      </w:r>
      <w:proofErr w:type="spellEnd"/>
      <w:r w:rsidRPr="00502432">
        <w:rPr>
          <w:rFonts w:ascii="Stone Sans II ITC Com Bk" w:hAnsi="Stone Sans II ITC Com Bk"/>
        </w:rPr>
        <w:t xml:space="preserve">. ACO führt damit erstmalig systematisch die Punkt- und die Linienentwässerung zusammen. Die Funktionsweise ist </w:t>
      </w:r>
      <w:r w:rsidRPr="00502432">
        <w:rPr>
          <w:rFonts w:ascii="Stone Sans II ITC Com Bk" w:hAnsi="Stone Sans II ITC Com Bk"/>
        </w:rPr>
        <w:lastRenderedPageBreak/>
        <w:t xml:space="preserve">simpel. Das Oberflächenwasser wird sowohl seitlich über die Einlauföffnungen der Hohlbordrinne als auch über den herkömmlichen Straßenablauf aufgenommen. Beide Systeme sind miteinander verbunden und können dennoch unabhängig voneinander entwässern. </w:t>
      </w:r>
    </w:p>
    <w:p w14:paraId="029E5BAD" w14:textId="77777777" w:rsidR="00502432" w:rsidRPr="00502432" w:rsidRDefault="00502432" w:rsidP="00502432">
      <w:pPr>
        <w:pStyle w:val="Default"/>
        <w:spacing w:line="360" w:lineRule="auto"/>
        <w:rPr>
          <w:rFonts w:ascii="Stone Sans II ITC Com Bk" w:hAnsi="Stone Sans II ITC Com Bk"/>
        </w:rPr>
      </w:pPr>
    </w:p>
    <w:p w14:paraId="7F3899DE" w14:textId="77777777" w:rsidR="00502432" w:rsidRPr="00502432" w:rsidRDefault="00502432" w:rsidP="00502432">
      <w:pPr>
        <w:pStyle w:val="Default"/>
        <w:spacing w:line="360" w:lineRule="auto"/>
        <w:rPr>
          <w:rFonts w:ascii="Stone Sans II ITC Com Bk" w:hAnsi="Stone Sans II ITC Com Bk"/>
          <w:b/>
          <w:bCs/>
        </w:rPr>
      </w:pPr>
      <w:r w:rsidRPr="00502432">
        <w:rPr>
          <w:rFonts w:ascii="Stone Sans II ITC Com Bk" w:hAnsi="Stone Sans II ITC Com Bk"/>
          <w:b/>
          <w:bCs/>
        </w:rPr>
        <w:t>Kombiniere: Linie trifft Punkt</w:t>
      </w:r>
    </w:p>
    <w:p w14:paraId="3973D25C" w14:textId="77777777" w:rsidR="00502432" w:rsidRDefault="00502432" w:rsidP="00502432">
      <w:pPr>
        <w:pStyle w:val="Default"/>
        <w:spacing w:line="360" w:lineRule="auto"/>
        <w:rPr>
          <w:rFonts w:ascii="Stone Sans II ITC Com Bk" w:hAnsi="Stone Sans II ITC Com Bk"/>
        </w:rPr>
      </w:pPr>
      <w:r w:rsidRPr="00502432">
        <w:rPr>
          <w:rFonts w:ascii="Stone Sans II ITC Com Bk" w:hAnsi="Stone Sans II ITC Com Bk"/>
        </w:rPr>
        <w:t xml:space="preserve">Das System ACO </w:t>
      </w:r>
      <w:proofErr w:type="spellStart"/>
      <w:r w:rsidRPr="00502432">
        <w:rPr>
          <w:rFonts w:ascii="Stone Sans II ITC Com Bk" w:hAnsi="Stone Sans II ITC Com Bk"/>
        </w:rPr>
        <w:t>Drain®Box</w:t>
      </w:r>
      <w:proofErr w:type="spellEnd"/>
      <w:r w:rsidRPr="00502432">
        <w:rPr>
          <w:rFonts w:ascii="Stone Sans II ITC Com Bk" w:hAnsi="Stone Sans II ITC Com Bk"/>
        </w:rPr>
        <w:t xml:space="preserve"> eignet sich für die Nachrüstung, Sanierung und für den Neubau. Dabei wird die bauliche Situation von Gully und Bordstein vor Ort genutzt. So können kritische Überflutungspunkte einfach, schnell und mit herkömmlichen Baugewohnheiten entschärft werden. Der große Vorteil liegt im Umfang der Baumaßnahme. Die Nachrüstung oder Sanierung bedarf wenig Platz, so dass längere Straßenabsperrungen entfallen. Dadurch bleibt der Kosten- sowie Arbeitsaufwand gering. Bestehende Anschlussleitungen oder gar Ablaufschachtunterteile können dabei verwendet werden. Fahrbahnseitig wird der existierende Straßenablauf mit dem Betonbauteilen gegen die Module des ACO </w:t>
      </w:r>
      <w:proofErr w:type="spellStart"/>
      <w:r w:rsidRPr="00502432">
        <w:rPr>
          <w:rFonts w:ascii="Stone Sans II ITC Com Bk" w:hAnsi="Stone Sans II ITC Com Bk"/>
        </w:rPr>
        <w:t>Combipoint</w:t>
      </w:r>
      <w:proofErr w:type="spellEnd"/>
      <w:r w:rsidRPr="00502432">
        <w:rPr>
          <w:rFonts w:ascii="Stone Sans II ITC Com Bk" w:hAnsi="Stone Sans II ITC Com Bk"/>
        </w:rPr>
        <w:t xml:space="preserve"> PP ausgetauscht. Analog zu den Bauteilen der DIN 4052 lässt sich dieser deutlicher leichter versetzen. Beim Verbleib des Betonbodenteils vom Ablauf können mittels des neuen Sanierungsadapter die </w:t>
      </w:r>
      <w:proofErr w:type="spellStart"/>
      <w:r w:rsidRPr="00502432">
        <w:rPr>
          <w:rFonts w:ascii="Stone Sans II ITC Com Bk" w:hAnsi="Stone Sans II ITC Com Bk"/>
        </w:rPr>
        <w:t>Combipoint</w:t>
      </w:r>
      <w:proofErr w:type="spellEnd"/>
      <w:r w:rsidRPr="00502432">
        <w:rPr>
          <w:rFonts w:ascii="Stone Sans II ITC Com Bk" w:hAnsi="Stone Sans II ITC Com Bk"/>
        </w:rPr>
        <w:t xml:space="preserve">-Teile aufgesetzt werden. Je nach Einsatzgebiet stehen verschiedene ACO </w:t>
      </w:r>
      <w:proofErr w:type="spellStart"/>
      <w:r w:rsidRPr="00502432">
        <w:rPr>
          <w:rFonts w:ascii="Stone Sans II ITC Com Bk" w:hAnsi="Stone Sans II ITC Com Bk"/>
        </w:rPr>
        <w:t>Multitop</w:t>
      </w:r>
      <w:proofErr w:type="spellEnd"/>
      <w:r w:rsidRPr="00502432">
        <w:rPr>
          <w:rFonts w:ascii="Stone Sans II ITC Com Bk" w:hAnsi="Stone Sans II ITC Com Bk"/>
        </w:rPr>
        <w:t xml:space="preserve"> Aufsatzvarianten zu Verfügung. </w:t>
      </w:r>
    </w:p>
    <w:p w14:paraId="12B5FA30" w14:textId="77777777" w:rsidR="00502432" w:rsidRPr="00502432" w:rsidRDefault="00502432" w:rsidP="00502432">
      <w:pPr>
        <w:pStyle w:val="Default"/>
        <w:spacing w:line="360" w:lineRule="auto"/>
        <w:rPr>
          <w:rFonts w:ascii="Stone Sans II ITC Com Bk" w:hAnsi="Stone Sans II ITC Com Bk"/>
        </w:rPr>
      </w:pPr>
    </w:p>
    <w:p w14:paraId="2B59DEE0" w14:textId="77777777" w:rsidR="00502432" w:rsidRDefault="00502432" w:rsidP="00502432">
      <w:pPr>
        <w:pStyle w:val="Default"/>
        <w:spacing w:line="360" w:lineRule="auto"/>
        <w:rPr>
          <w:rFonts w:ascii="Stone Sans II ITC Com Bk" w:hAnsi="Stone Sans II ITC Com Bk"/>
        </w:rPr>
      </w:pPr>
      <w:r w:rsidRPr="00502432">
        <w:rPr>
          <w:rFonts w:ascii="Stone Sans II ITC Com Bk" w:hAnsi="Stone Sans II ITC Com Bk"/>
        </w:rPr>
        <w:t xml:space="preserve">Die zweite Schlüsselkomponente ist die Hohlbordrinne ACO </w:t>
      </w:r>
      <w:proofErr w:type="spellStart"/>
      <w:r w:rsidRPr="00502432">
        <w:rPr>
          <w:rFonts w:ascii="Stone Sans II ITC Com Bk" w:hAnsi="Stone Sans II ITC Com Bk"/>
        </w:rPr>
        <w:t>KerbDrain</w:t>
      </w:r>
      <w:proofErr w:type="spellEnd"/>
      <w:r w:rsidRPr="00502432">
        <w:rPr>
          <w:rFonts w:ascii="Stone Sans II ITC Com Bk" w:hAnsi="Stone Sans II ITC Com Bk"/>
        </w:rPr>
        <w:t xml:space="preserve">, die den Bordstein im Bereich des Straßenablaufes ersetzt. Die Kombination von Bordstein und Rinne in einem ergibt die Besonderheit für die ACO </w:t>
      </w:r>
      <w:proofErr w:type="spellStart"/>
      <w:r w:rsidRPr="00502432">
        <w:rPr>
          <w:rFonts w:ascii="Stone Sans II ITC Com Bk" w:hAnsi="Stone Sans II ITC Com Bk"/>
        </w:rPr>
        <w:t>Drain®Box</w:t>
      </w:r>
      <w:proofErr w:type="spellEnd"/>
      <w:r w:rsidRPr="00502432">
        <w:rPr>
          <w:rFonts w:ascii="Stone Sans II ITC Com Bk" w:hAnsi="Stone Sans II ITC Com Bk"/>
        </w:rPr>
        <w:t xml:space="preserve">. Vor dem Punktablauf nehmen die seitlichen Öffnungen der Hohlbordrinne entlang des Bordes einen Teil des anströmenden Wassers auf. Dabei ist die Gossenausbildung nicht relevant. Bereits mit ein paar Metern der </w:t>
      </w:r>
      <w:proofErr w:type="spellStart"/>
      <w:r w:rsidRPr="00502432">
        <w:rPr>
          <w:rFonts w:ascii="Stone Sans II ITC Com Bk" w:hAnsi="Stone Sans II ITC Com Bk"/>
        </w:rPr>
        <w:t>KerbDrain</w:t>
      </w:r>
      <w:proofErr w:type="spellEnd"/>
      <w:r w:rsidRPr="00502432">
        <w:rPr>
          <w:rFonts w:ascii="Stone Sans II ITC Com Bk" w:hAnsi="Stone Sans II ITC Com Bk"/>
        </w:rPr>
        <w:t xml:space="preserve"> wird eine signifikante hydraulische Leistungsverbesserung erreicht. Die Verbindung von der Hohlbordrinne zum Straßenablauf erfolgt über den Einlaufkasten und dem Zwischenteil des Straßenablaufes mittels eines Rohrstücks. Je nach Anwendungsfall kann die ACO </w:t>
      </w:r>
      <w:proofErr w:type="spellStart"/>
      <w:r w:rsidRPr="00502432">
        <w:rPr>
          <w:rFonts w:ascii="Stone Sans II ITC Com Bk" w:hAnsi="Stone Sans II ITC Com Bk"/>
        </w:rPr>
        <w:lastRenderedPageBreak/>
        <w:t>Drain®Box</w:t>
      </w:r>
      <w:proofErr w:type="spellEnd"/>
      <w:r w:rsidRPr="00502432">
        <w:rPr>
          <w:rFonts w:ascii="Stone Sans II ITC Com Bk" w:hAnsi="Stone Sans II ITC Com Bk"/>
        </w:rPr>
        <w:t xml:space="preserve"> ganz flexibel zusammengestellt werden. Die </w:t>
      </w:r>
      <w:proofErr w:type="gramStart"/>
      <w:r w:rsidRPr="00502432">
        <w:rPr>
          <w:rFonts w:ascii="Stone Sans II ITC Com Bk" w:hAnsi="Stone Sans II ITC Com Bk"/>
        </w:rPr>
        <w:t>ACO Anwendungstechnik</w:t>
      </w:r>
      <w:proofErr w:type="gramEnd"/>
      <w:r w:rsidRPr="00502432">
        <w:rPr>
          <w:rFonts w:ascii="Stone Sans II ITC Com Bk" w:hAnsi="Stone Sans II ITC Com Bk"/>
        </w:rPr>
        <w:t xml:space="preserve"> unterstützt dabei beratend.</w:t>
      </w:r>
    </w:p>
    <w:p w14:paraId="7D468C6A" w14:textId="77777777" w:rsidR="00B36B4C" w:rsidRPr="00502432" w:rsidRDefault="00B36B4C" w:rsidP="00502432">
      <w:pPr>
        <w:pStyle w:val="Default"/>
        <w:spacing w:line="360" w:lineRule="auto"/>
        <w:rPr>
          <w:rFonts w:ascii="Stone Sans II ITC Com Bk" w:hAnsi="Stone Sans II ITC Com Bk"/>
        </w:rPr>
      </w:pPr>
    </w:p>
    <w:p w14:paraId="31C80DD8" w14:textId="77777777" w:rsidR="00502432" w:rsidRPr="00B36B4C" w:rsidRDefault="00502432" w:rsidP="00502432">
      <w:pPr>
        <w:pStyle w:val="Default"/>
        <w:spacing w:line="360" w:lineRule="auto"/>
        <w:rPr>
          <w:rFonts w:ascii="Stone Sans II ITC Com Bk" w:hAnsi="Stone Sans II ITC Com Bk"/>
          <w:b/>
          <w:bCs/>
        </w:rPr>
      </w:pPr>
      <w:r w:rsidRPr="00B36B4C">
        <w:rPr>
          <w:rFonts w:ascii="Stone Sans II ITC Com Bk" w:hAnsi="Stone Sans II ITC Com Bk"/>
          <w:b/>
          <w:bCs/>
        </w:rPr>
        <w:t>Fazit</w:t>
      </w:r>
    </w:p>
    <w:p w14:paraId="62C7E278" w14:textId="77777777" w:rsidR="00502432" w:rsidRPr="00502432" w:rsidRDefault="00502432" w:rsidP="00502432">
      <w:pPr>
        <w:pStyle w:val="Default"/>
        <w:spacing w:line="360" w:lineRule="auto"/>
        <w:rPr>
          <w:rFonts w:ascii="Stone Sans II ITC Com Bk" w:hAnsi="Stone Sans II ITC Com Bk"/>
        </w:rPr>
      </w:pPr>
      <w:r w:rsidRPr="00502432">
        <w:rPr>
          <w:rFonts w:ascii="Stone Sans II ITC Com Bk" w:hAnsi="Stone Sans II ITC Com Bk"/>
        </w:rPr>
        <w:t xml:space="preserve">Mit der ACO </w:t>
      </w:r>
      <w:proofErr w:type="spellStart"/>
      <w:r w:rsidRPr="00502432">
        <w:rPr>
          <w:rFonts w:ascii="Stone Sans II ITC Com Bk" w:hAnsi="Stone Sans II ITC Com Bk"/>
        </w:rPr>
        <w:t>Drain®Box</w:t>
      </w:r>
      <w:proofErr w:type="spellEnd"/>
      <w:r w:rsidRPr="00502432">
        <w:rPr>
          <w:rFonts w:ascii="Stone Sans II ITC Com Bk" w:hAnsi="Stone Sans II ITC Com Bk"/>
        </w:rPr>
        <w:t xml:space="preserve"> ergibt sich heute ein neues Konzept für bestehende und geplante punktuelle Entwässerungslösungen für Kommunen, Straßen- und Autobahnmeistereien. Die hydraulischen Besonderheiten beider Systeme verknüpft und um einen zweiten Schlammeimer erweitert, ergibt mehr funktionale Sicherheit. Das Abflussgeschehen auf der Straße infolge von Starkregen kann verbessert werden, die Verkehrssicherheit wird gefördert und Überflutungsschäden werden reduziert. </w:t>
      </w:r>
    </w:p>
    <w:p w14:paraId="2C75F830" w14:textId="77777777" w:rsidR="00A5514E" w:rsidRDefault="00A5514E" w:rsidP="00F05BFD">
      <w:pPr>
        <w:pStyle w:val="Default"/>
        <w:spacing w:line="360" w:lineRule="auto"/>
        <w:rPr>
          <w:rFonts w:ascii="Stone Sans II ITC Com Bk" w:hAnsi="Stone Sans II ITC Com Bk"/>
        </w:rPr>
      </w:pPr>
    </w:p>
    <w:p w14:paraId="52CCEBE8" w14:textId="6D3DA8F4" w:rsidR="00510522" w:rsidRDefault="00510522" w:rsidP="00F05BFD">
      <w:pPr>
        <w:pStyle w:val="Default"/>
        <w:spacing w:line="360" w:lineRule="auto"/>
        <w:rPr>
          <w:rFonts w:ascii="Stone Sans II ITC Com Bk" w:hAnsi="Stone Sans II ITC Com Bk"/>
        </w:rPr>
      </w:pPr>
      <w:r>
        <w:rPr>
          <w:color w:val="212529"/>
          <w:sz w:val="21"/>
          <w:szCs w:val="21"/>
          <w:shd w:val="clear" w:color="auto" w:fill="FFFFFF"/>
        </w:rPr>
        <w:t>(ca. 3.922 Zeichen)</w:t>
      </w:r>
    </w:p>
    <w:p w14:paraId="17B5CF08" w14:textId="7E8D9497" w:rsidR="00AD5F9C" w:rsidRDefault="003B4C8D" w:rsidP="00F05BFD">
      <w:pPr>
        <w:pStyle w:val="Default"/>
        <w:spacing w:line="360" w:lineRule="auto"/>
        <w:rPr>
          <w:rFonts w:ascii="Stone Sans II ITC Com Lt" w:hAnsi="Stone Sans II ITC Com Lt"/>
          <w:iCs/>
          <w:sz w:val="20"/>
          <w:szCs w:val="20"/>
        </w:rPr>
      </w:pPr>
      <w:r>
        <w:rPr>
          <w:rFonts w:ascii="Stone Sans II ITC Com Lt" w:hAnsi="Stone Sans II ITC Com Lt"/>
          <w:iCs/>
          <w:noProof/>
          <w:sz w:val="20"/>
          <w:szCs w:val="20"/>
        </w:rPr>
        <mc:AlternateContent>
          <mc:Choice Requires="wps">
            <w:drawing>
              <wp:anchor distT="0" distB="0" distL="114300" distR="114300" simplePos="0" relativeHeight="251659264" behindDoc="0" locked="0" layoutInCell="1" allowOverlap="1" wp14:anchorId="41B1D0AC" wp14:editId="62EF20B5">
                <wp:simplePos x="0" y="0"/>
                <wp:positionH relativeFrom="margin">
                  <wp:align>left</wp:align>
                </wp:positionH>
                <wp:positionV relativeFrom="paragraph">
                  <wp:posOffset>197697</wp:posOffset>
                </wp:positionV>
                <wp:extent cx="5889326" cy="1648177"/>
                <wp:effectExtent l="0" t="0" r="16510" b="28575"/>
                <wp:wrapNone/>
                <wp:docPr id="16" name="Textfeld 16"/>
                <wp:cNvGraphicFramePr/>
                <a:graphic xmlns:a="http://schemas.openxmlformats.org/drawingml/2006/main">
                  <a:graphicData uri="http://schemas.microsoft.com/office/word/2010/wordprocessingShape">
                    <wps:wsp>
                      <wps:cNvSpPr txBox="1"/>
                      <wps:spPr>
                        <a:xfrm>
                          <a:off x="0" y="0"/>
                          <a:ext cx="5889326" cy="1648177"/>
                        </a:xfrm>
                        <a:prstGeom prst="rect">
                          <a:avLst/>
                        </a:prstGeom>
                        <a:solidFill>
                          <a:schemeClr val="lt1"/>
                        </a:solidFill>
                        <a:ln w="6350">
                          <a:solidFill>
                            <a:srgbClr val="0070C0"/>
                          </a:solidFill>
                        </a:ln>
                      </wps:spPr>
                      <wps:txb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 xml:space="preserve">Als Teil der weltweiten </w:t>
                            </w:r>
                            <w:proofErr w:type="gramStart"/>
                            <w:r w:rsidR="00472784" w:rsidRPr="00472784">
                              <w:rPr>
                                <w:rFonts w:ascii="Stone Sans II ITC Com Lt" w:hAnsi="Stone Sans II ITC Com Lt"/>
                                <w:iCs/>
                                <w:sz w:val="20"/>
                                <w:szCs w:val="20"/>
                              </w:rPr>
                              <w:t>ACO Gruppe</w:t>
                            </w:r>
                            <w:proofErr w:type="gramEnd"/>
                            <w:r w:rsidR="00472784" w:rsidRPr="00472784">
                              <w:rPr>
                                <w:rFonts w:ascii="Stone Sans II ITC Com Lt" w:hAnsi="Stone Sans II ITC Com Lt"/>
                                <w:iCs/>
                                <w:sz w:val="20"/>
                                <w:szCs w:val="20"/>
                              </w:rPr>
                              <w:t xml:space="preserv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t>
                            </w:r>
                            <w:proofErr w:type="spellStart"/>
                            <w:r w:rsidR="00472784" w:rsidRPr="00472784">
                              <w:rPr>
                                <w:rFonts w:ascii="Stone Sans II ITC Com Lt" w:hAnsi="Stone Sans II ITC Com Lt"/>
                                <w:iCs/>
                                <w:sz w:val="20"/>
                                <w:szCs w:val="20"/>
                              </w:rPr>
                              <w:t>we</w:t>
                            </w:r>
                            <w:proofErr w:type="spellEnd"/>
                            <w:r w:rsidR="00472784" w:rsidRPr="00472784">
                              <w:rPr>
                                <w:rFonts w:ascii="Stone Sans II ITC Com Lt" w:hAnsi="Stone Sans II ITC Com Lt"/>
                                <w:iCs/>
                                <w:sz w:val="20"/>
                                <w:szCs w:val="20"/>
                              </w:rPr>
                              <w:t xml:space="preserve"> care </w:t>
                            </w:r>
                            <w:proofErr w:type="spellStart"/>
                            <w:r w:rsidR="00472784" w:rsidRPr="00472784">
                              <w:rPr>
                                <w:rFonts w:ascii="Stone Sans II ITC Com Lt" w:hAnsi="Stone Sans II ITC Com Lt"/>
                                <w:iCs/>
                                <w:sz w:val="20"/>
                                <w:szCs w:val="20"/>
                              </w:rPr>
                              <w:t>for</w:t>
                            </w:r>
                            <w:proofErr w:type="spellEnd"/>
                            <w:r w:rsidR="00472784" w:rsidRPr="00472784">
                              <w:rPr>
                                <w:rFonts w:ascii="Stone Sans II ITC Com Lt" w:hAnsi="Stone Sans II ITC Com Lt"/>
                                <w:iCs/>
                                <w:sz w:val="20"/>
                                <w:szCs w:val="20"/>
                              </w:rPr>
                              <w:t xml:space="preserve"> </w:t>
                            </w:r>
                            <w:proofErr w:type="spellStart"/>
                            <w:r w:rsidR="00472784" w:rsidRPr="00472784">
                              <w:rPr>
                                <w:rFonts w:ascii="Stone Sans II ITC Com Lt" w:hAnsi="Stone Sans II ITC Com Lt"/>
                                <w:iCs/>
                                <w:sz w:val="20"/>
                                <w:szCs w:val="20"/>
                              </w:rPr>
                              <w:t>water</w:t>
                            </w:r>
                            <w:proofErr w:type="spellEnd"/>
                            <w:r w:rsidR="00472784" w:rsidRPr="00472784">
                              <w:rPr>
                                <w:rFonts w:ascii="Stone Sans II ITC Com Lt" w:hAnsi="Stone Sans II ITC Com Lt"/>
                                <w:iCs/>
                                <w:sz w:val="20"/>
                                <w:szCs w:val="20"/>
                              </w:rPr>
                              <w:t xml:space="preserve">“, steht im Mittelpunkt aller Unternehmensaktivitäten. Mit dem ACO </w:t>
                            </w:r>
                            <w:proofErr w:type="spellStart"/>
                            <w:r w:rsidR="00472784" w:rsidRPr="00472784">
                              <w:rPr>
                                <w:rFonts w:ascii="Stone Sans II ITC Com Lt" w:hAnsi="Stone Sans II ITC Com Lt"/>
                                <w:iCs/>
                                <w:sz w:val="20"/>
                                <w:szCs w:val="20"/>
                              </w:rPr>
                              <w:t>WaterCycle</w:t>
                            </w:r>
                            <w:proofErr w:type="spellEnd"/>
                            <w:r w:rsidR="00472784" w:rsidRPr="00472784">
                              <w:rPr>
                                <w:rFonts w:ascii="Stone Sans II ITC Com Lt" w:hAnsi="Stone Sans II ITC Com Lt"/>
                                <w:iCs/>
                                <w:sz w:val="20"/>
                                <w:szCs w:val="2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D0AC" id="_x0000_t202" coordsize="21600,21600" o:spt="202" path="m,l,21600r21600,l21600,xe">
                <v:stroke joinstyle="miter"/>
                <v:path gradientshapeok="t" o:connecttype="rect"/>
              </v:shapetype>
              <v:shape id="Textfeld 16" o:spid="_x0000_s1026" type="#_x0000_t202" style="position:absolute;margin-left:0;margin-top:15.55pt;width:463.75pt;height:129.8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pOgIAAH4EAAAOAAAAZHJzL2Uyb0RvYy54bWysVE1v2zAMvQ/YfxB0X2yn+aoRp8hSZBhQ&#10;tAXSoWdFlmMDsqhJSuzs14+Sna9up2EXhRTpJ/I9MvOHtpbkIIytQGU0GcSUCMUhr9Quoz/e1l9m&#10;lFjHVM4kKJHRo7D0YfH507zRqRhCCTIXhiCIsmmjM1o6p9MosrwUNbMD0EJhsABTM4eu2UW5YQ2i&#10;1zIaxvEkasDk2gAX1uLtYxeki4BfFIK7l6KwwhGZUazNhdOEc+vPaDFn6c4wXVa8L4P9QxU1qxQ+&#10;eoZ6ZI6Rvan+gKorbsBC4QYc6giKouIi9IDdJPGHbjYl0yL0guRYfabJ/j9Y/nzY6FdDXPsVWhTQ&#10;E9Jom1q89P20han9L1ZKMI4UHs+0idYRjpfj2ez+bjihhGMsmYxmyXTqcaLL59pY901ATbyRUYO6&#10;BLrY4cm6LvWU4l+zIKt8XUkZHD8LYiUNOTBUUbpQJILfZElFmoxO7sZxAL6JWbPbnr+P42m8CsLf&#10;QqAnFRZ96d5brt22PSVbyI/IlIFuiKzm6wq7eWLWvTKDU4Pk4Ca4FzwKCVgN9BYlJZhff7v3+Sgm&#10;RilpcAozan/umRGUyO8KZb5PRiM/tsEZjadDdMx1ZHsdUft6BUhRgjuneTB9vpMnszBQv+PCLP2r&#10;GGKK49sZdSdz5brdwIXjYrkMSTiomrkntdHcQ3tJvFZv7TszuhfU4Sw8w2leWfpB1y7Xf6lguXdQ&#10;VEF0T3DHas87DnkYm34h/RZd+yHr8rex+A0AAP//AwBQSwMEFAAGAAgAAAAhAAvgsvXcAAAABwEA&#10;AA8AAABkcnMvZG93bnJldi54bWxMj0FPg0AUhO8m/ofNM/FmFzCKRZbG1HjwKNWDt1f2CaTsW2Qf&#10;LfrrXU96nMxk5ptys7hBHWkKvWcD6SoBRdx423Nr4HX3dHUHKgiyxcEzGfiiAJvq/KzEwvoTv9Cx&#10;llbFEg4FGuhExkLr0HTkMKz8SBy9Dz85lCinVtsJT7HcDTpLklvtsOe40OFI246aQz07A9/uUbK+&#10;buYZ3z/z560+vEmaGHN5sTzcgxJa5C8Mv/gRHarItPcz26AGA/GIGLhOU1DRXWf5Dai9gWyd5KCr&#10;Uv/nr34AAAD//wMAUEsBAi0AFAAGAAgAAAAhALaDOJL+AAAA4QEAABMAAAAAAAAAAAAAAAAAAAAA&#10;AFtDb250ZW50X1R5cGVzXS54bWxQSwECLQAUAAYACAAAACEAOP0h/9YAAACUAQAACwAAAAAAAAAA&#10;AAAAAAAvAQAAX3JlbHMvLnJlbHNQSwECLQAUAAYACAAAACEACP/LaToCAAB+BAAADgAAAAAAAAAA&#10;AAAAAAAuAgAAZHJzL2Uyb0RvYy54bWxQSwECLQAUAAYACAAAACEAC+Cy9dwAAAAHAQAADwAAAAAA&#10;AAAAAAAAAACUBAAAZHJzL2Rvd25yZXYueG1sUEsFBgAAAAAEAAQA8wAAAJ0FAAAAAA==&#10;" fillcolor="white [3201]" strokecolor="#0070c0" strokeweight=".5pt">
                <v:textbo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 xml:space="preserve">Als Teil der weltweiten </w:t>
                      </w:r>
                      <w:proofErr w:type="gramStart"/>
                      <w:r w:rsidR="00472784" w:rsidRPr="00472784">
                        <w:rPr>
                          <w:rFonts w:ascii="Stone Sans II ITC Com Lt" w:hAnsi="Stone Sans II ITC Com Lt"/>
                          <w:iCs/>
                          <w:sz w:val="20"/>
                          <w:szCs w:val="20"/>
                        </w:rPr>
                        <w:t>ACO Gruppe</w:t>
                      </w:r>
                      <w:proofErr w:type="gramEnd"/>
                      <w:r w:rsidR="00472784" w:rsidRPr="00472784">
                        <w:rPr>
                          <w:rFonts w:ascii="Stone Sans II ITC Com Lt" w:hAnsi="Stone Sans II ITC Com Lt"/>
                          <w:iCs/>
                          <w:sz w:val="20"/>
                          <w:szCs w:val="20"/>
                        </w:rPr>
                        <w:t xml:space="preserv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t>
                      </w:r>
                      <w:proofErr w:type="spellStart"/>
                      <w:r w:rsidR="00472784" w:rsidRPr="00472784">
                        <w:rPr>
                          <w:rFonts w:ascii="Stone Sans II ITC Com Lt" w:hAnsi="Stone Sans II ITC Com Lt"/>
                          <w:iCs/>
                          <w:sz w:val="20"/>
                          <w:szCs w:val="20"/>
                        </w:rPr>
                        <w:t>we</w:t>
                      </w:r>
                      <w:proofErr w:type="spellEnd"/>
                      <w:r w:rsidR="00472784" w:rsidRPr="00472784">
                        <w:rPr>
                          <w:rFonts w:ascii="Stone Sans II ITC Com Lt" w:hAnsi="Stone Sans II ITC Com Lt"/>
                          <w:iCs/>
                          <w:sz w:val="20"/>
                          <w:szCs w:val="20"/>
                        </w:rPr>
                        <w:t xml:space="preserve"> care </w:t>
                      </w:r>
                      <w:proofErr w:type="spellStart"/>
                      <w:r w:rsidR="00472784" w:rsidRPr="00472784">
                        <w:rPr>
                          <w:rFonts w:ascii="Stone Sans II ITC Com Lt" w:hAnsi="Stone Sans II ITC Com Lt"/>
                          <w:iCs/>
                          <w:sz w:val="20"/>
                          <w:szCs w:val="20"/>
                        </w:rPr>
                        <w:t>for</w:t>
                      </w:r>
                      <w:proofErr w:type="spellEnd"/>
                      <w:r w:rsidR="00472784" w:rsidRPr="00472784">
                        <w:rPr>
                          <w:rFonts w:ascii="Stone Sans II ITC Com Lt" w:hAnsi="Stone Sans II ITC Com Lt"/>
                          <w:iCs/>
                          <w:sz w:val="20"/>
                          <w:szCs w:val="20"/>
                        </w:rPr>
                        <w:t xml:space="preserve"> </w:t>
                      </w:r>
                      <w:proofErr w:type="spellStart"/>
                      <w:r w:rsidR="00472784" w:rsidRPr="00472784">
                        <w:rPr>
                          <w:rFonts w:ascii="Stone Sans II ITC Com Lt" w:hAnsi="Stone Sans II ITC Com Lt"/>
                          <w:iCs/>
                          <w:sz w:val="20"/>
                          <w:szCs w:val="20"/>
                        </w:rPr>
                        <w:t>water</w:t>
                      </w:r>
                      <w:proofErr w:type="spellEnd"/>
                      <w:r w:rsidR="00472784" w:rsidRPr="00472784">
                        <w:rPr>
                          <w:rFonts w:ascii="Stone Sans II ITC Com Lt" w:hAnsi="Stone Sans II ITC Com Lt"/>
                          <w:iCs/>
                          <w:sz w:val="20"/>
                          <w:szCs w:val="20"/>
                        </w:rPr>
                        <w:t xml:space="preserve">“, steht im Mittelpunkt aller Unternehmensaktivitäten. Mit dem ACO </w:t>
                      </w:r>
                      <w:proofErr w:type="spellStart"/>
                      <w:r w:rsidR="00472784" w:rsidRPr="00472784">
                        <w:rPr>
                          <w:rFonts w:ascii="Stone Sans II ITC Com Lt" w:hAnsi="Stone Sans II ITC Com Lt"/>
                          <w:iCs/>
                          <w:sz w:val="20"/>
                          <w:szCs w:val="20"/>
                        </w:rPr>
                        <w:t>WaterCycle</w:t>
                      </w:r>
                      <w:proofErr w:type="spellEnd"/>
                      <w:r w:rsidR="00472784" w:rsidRPr="00472784">
                        <w:rPr>
                          <w:rFonts w:ascii="Stone Sans II ITC Com Lt" w:hAnsi="Stone Sans II ITC Com Lt"/>
                          <w:iCs/>
                          <w:sz w:val="20"/>
                          <w:szCs w:val="2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v:textbox>
                <w10:wrap anchorx="margin"/>
              </v:shape>
            </w:pict>
          </mc:Fallback>
        </mc:AlternateContent>
      </w:r>
    </w:p>
    <w:p w14:paraId="78A83055" w14:textId="7676FEFE" w:rsidR="00D975E2" w:rsidRPr="000B433D" w:rsidRDefault="00D975E2" w:rsidP="003B4C8D">
      <w:pPr>
        <w:pStyle w:val="Default"/>
        <w:spacing w:line="360" w:lineRule="auto"/>
        <w:rPr>
          <w:rFonts w:ascii="Stone Sans II ITC Com Lt" w:eastAsia="Times New Roman" w:hAnsi="Stone Sans II ITC Com Lt"/>
          <w:sz w:val="20"/>
          <w:lang w:eastAsia="de-DE"/>
        </w:rPr>
      </w:pPr>
    </w:p>
    <w:p w14:paraId="25EAC591" w14:textId="238CD157"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5980F25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FE6891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448828A3" w14:textId="084F7CA0"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C6CC104"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C47C281" w14:textId="7A26FB6B" w:rsidR="00DA6BD9" w:rsidRDefault="00DA6BD9"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Bildmaterial:</w:t>
      </w:r>
    </w:p>
    <w:p w14:paraId="3B183A29" w14:textId="6D223465"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5440F62F" w14:textId="1067ECC2" w:rsidR="005068B0" w:rsidRDefault="005068B0" w:rsidP="00D975E2">
      <w:pPr>
        <w:spacing w:after="0"/>
        <w:textAlignment w:val="baseline"/>
        <w:rPr>
          <w:rFonts w:ascii="Stone Sans II ITC Com Lt" w:eastAsia="Times New Roman" w:hAnsi="Stone Sans II ITC Com Lt" w:cs="Arial"/>
          <w:sz w:val="20"/>
          <w:szCs w:val="24"/>
          <w:lang w:eastAsia="de-DE"/>
        </w:rPr>
      </w:pPr>
    </w:p>
    <w:p w14:paraId="248A827A" w14:textId="650E3C64" w:rsidR="005176D4" w:rsidRDefault="005176D4">
      <w:pPr>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br w:type="page"/>
      </w:r>
    </w:p>
    <w:p w14:paraId="6E2FC395" w14:textId="77777777" w:rsidR="00B36B4C" w:rsidRDefault="00B36B4C" w:rsidP="00D975E2">
      <w:pPr>
        <w:spacing w:after="0"/>
        <w:textAlignment w:val="baseline"/>
        <w:rPr>
          <w:rFonts w:ascii="Stone Sans II ITC Com Lt" w:eastAsia="Times New Roman" w:hAnsi="Stone Sans II ITC Com Lt" w:cs="Arial"/>
          <w:sz w:val="20"/>
          <w:szCs w:val="24"/>
          <w:lang w:eastAsia="de-DE"/>
        </w:rPr>
      </w:pPr>
    </w:p>
    <w:p w14:paraId="00F27311" w14:textId="354D37CE" w:rsidR="00B36B4C" w:rsidRPr="00B36B4C" w:rsidRDefault="00B36B4C" w:rsidP="00D975E2">
      <w:pPr>
        <w:spacing w:after="0"/>
        <w:textAlignment w:val="baseline"/>
        <w:rPr>
          <w:rFonts w:ascii="Stone Sans II ITC Com Lt" w:eastAsia="Times New Roman" w:hAnsi="Stone Sans II ITC Com Lt" w:cs="Arial"/>
          <w:sz w:val="24"/>
          <w:szCs w:val="32"/>
          <w:lang w:eastAsia="de-DE"/>
        </w:rPr>
      </w:pPr>
      <w:r w:rsidRPr="00B36B4C">
        <w:rPr>
          <w:rFonts w:ascii="Stone Sans II ITC Com Lt" w:eastAsia="Times New Roman" w:hAnsi="Stone Sans II ITC Com Lt" w:cs="Arial"/>
          <w:sz w:val="24"/>
          <w:szCs w:val="32"/>
          <w:lang w:eastAsia="de-DE"/>
        </w:rPr>
        <w:t>Bildmaterial – Quelle ACO</w:t>
      </w:r>
    </w:p>
    <w:p w14:paraId="2D52B971" w14:textId="59A0E5E9" w:rsidR="00ED462B" w:rsidRDefault="00ED462B" w:rsidP="00D975E2">
      <w:pPr>
        <w:spacing w:after="0"/>
        <w:textAlignment w:val="baseline"/>
        <w:rPr>
          <w:rFonts w:ascii="Stone Sans II ITC Com Lt" w:eastAsia="Times New Roman" w:hAnsi="Stone Sans II ITC Com Lt" w:cs="Arial"/>
          <w:sz w:val="20"/>
          <w:szCs w:val="24"/>
          <w:lang w:eastAsia="de-DE"/>
        </w:rPr>
      </w:pPr>
    </w:p>
    <w:p w14:paraId="524A2614" w14:textId="3DAAE0C2" w:rsidR="00DA6BD9" w:rsidRDefault="00B74530" w:rsidP="00D975E2">
      <w:pPr>
        <w:spacing w:after="0"/>
        <w:textAlignment w:val="baseline"/>
        <w:rPr>
          <w:rFonts w:ascii="Stone Sans II ITC Com Lt" w:eastAsia="Times New Roman" w:hAnsi="Stone Sans II ITC Com Lt" w:cs="Arial"/>
          <w:sz w:val="20"/>
          <w:szCs w:val="24"/>
          <w:lang w:eastAsia="de-DE"/>
        </w:rPr>
      </w:pPr>
      <w:r w:rsidRPr="008E7B44">
        <w:rPr>
          <w:rFonts w:ascii="Stone Sans II ITC Com Bk" w:hAnsi="Stone Sans II ITC Com Bk"/>
          <w:b/>
          <w:noProof/>
          <w:lang w:eastAsia="de-DE"/>
        </w:rPr>
        <w:drawing>
          <wp:inline distT="0" distB="0" distL="0" distR="0" wp14:anchorId="5F7D3BFB" wp14:editId="6272ED4A">
            <wp:extent cx="5731510" cy="2692400"/>
            <wp:effectExtent l="0" t="0" r="2540" b="0"/>
            <wp:docPr id="637988678" name="Grafik 637988678" descr="Ein Bild, das Wasser, Gelände, Re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88678" name="Grafik 637988678" descr="Ein Bild, das Wasser, Gelände, Regen enthält.&#10;&#10;Automatisch generierte Beschreibung"/>
                    <pic:cNvPicPr/>
                  </pic:nvPicPr>
                  <pic:blipFill rotWithShape="1">
                    <a:blip r:embed="rId12"/>
                    <a:srcRect b="16568"/>
                    <a:stretch/>
                  </pic:blipFill>
                  <pic:spPr bwMode="auto">
                    <a:xfrm>
                      <a:off x="0" y="0"/>
                      <a:ext cx="5731510" cy="2692400"/>
                    </a:xfrm>
                    <a:prstGeom prst="rect">
                      <a:avLst/>
                    </a:prstGeom>
                    <a:ln>
                      <a:noFill/>
                    </a:ln>
                    <a:extLst>
                      <a:ext uri="{53640926-AAD7-44D8-BBD7-CCE9431645EC}">
                        <a14:shadowObscured xmlns:a14="http://schemas.microsoft.com/office/drawing/2010/main"/>
                      </a:ext>
                    </a:extLst>
                  </pic:spPr>
                </pic:pic>
              </a:graphicData>
            </a:graphic>
          </wp:inline>
        </w:drawing>
      </w:r>
    </w:p>
    <w:p w14:paraId="175428E6" w14:textId="5A93009B" w:rsidR="00B74530" w:rsidRDefault="000366B0" w:rsidP="00D975E2">
      <w:pPr>
        <w:spacing w:after="0"/>
        <w:textAlignment w:val="baseline"/>
        <w:rPr>
          <w:rFonts w:ascii="Stone Sans II ITC Com Lt" w:eastAsia="Times New Roman" w:hAnsi="Stone Sans II ITC Com Lt" w:cs="Arial"/>
          <w:sz w:val="20"/>
          <w:szCs w:val="24"/>
          <w:lang w:eastAsia="de-DE"/>
        </w:rPr>
      </w:pPr>
      <w:r w:rsidRPr="000366B0">
        <w:rPr>
          <w:rFonts w:ascii="Stone Sans II ITC Com Lt" w:eastAsia="Times New Roman" w:hAnsi="Stone Sans II ITC Com Lt" w:cs="Arial"/>
          <w:sz w:val="20"/>
          <w:szCs w:val="24"/>
          <w:lang w:eastAsia="de-DE"/>
        </w:rPr>
        <w:t xml:space="preserve">ACO </w:t>
      </w:r>
      <w:proofErr w:type="spellStart"/>
      <w:r w:rsidRPr="000366B0">
        <w:rPr>
          <w:rFonts w:ascii="Stone Sans II ITC Com Lt" w:eastAsia="Times New Roman" w:hAnsi="Stone Sans II ITC Com Lt" w:cs="Arial"/>
          <w:sz w:val="20"/>
          <w:szCs w:val="24"/>
          <w:lang w:eastAsia="de-DE"/>
        </w:rPr>
        <w:t>Drain®Box</w:t>
      </w:r>
      <w:proofErr w:type="spellEnd"/>
      <w:r w:rsidRPr="000366B0">
        <w:rPr>
          <w:rFonts w:ascii="Stone Sans II ITC Com Lt" w:eastAsia="Times New Roman" w:hAnsi="Stone Sans II ITC Com Lt" w:cs="Arial"/>
          <w:sz w:val="20"/>
          <w:szCs w:val="24"/>
          <w:lang w:eastAsia="de-DE"/>
        </w:rPr>
        <w:t xml:space="preserve"> – der neue Lösungsbaustein für Überflutungs-Hot-Spots</w:t>
      </w:r>
    </w:p>
    <w:p w14:paraId="793CE8B2" w14:textId="18E6E0AE" w:rsidR="000366B0" w:rsidRDefault="000366B0" w:rsidP="00D975E2">
      <w:pPr>
        <w:spacing w:after="0"/>
        <w:textAlignment w:val="baseline"/>
        <w:rPr>
          <w:rFonts w:ascii="Stone Sans II ITC Com Lt" w:eastAsia="Times New Roman" w:hAnsi="Stone Sans II ITC Com Lt" w:cs="Arial"/>
          <w:sz w:val="20"/>
          <w:szCs w:val="24"/>
          <w:lang w:eastAsia="de-DE"/>
        </w:rPr>
      </w:pPr>
    </w:p>
    <w:p w14:paraId="2CC70976" w14:textId="03754C22" w:rsidR="000366B0" w:rsidRDefault="00AA1EE3" w:rsidP="00D975E2">
      <w:pPr>
        <w:spacing w:after="0"/>
        <w:textAlignment w:val="baseline"/>
        <w:rPr>
          <w:rFonts w:ascii="Stone Sans II ITC Com Lt" w:eastAsia="Times New Roman" w:hAnsi="Stone Sans II ITC Com Lt" w:cs="Arial"/>
          <w:sz w:val="20"/>
          <w:szCs w:val="24"/>
          <w:lang w:eastAsia="de-DE"/>
        </w:rPr>
      </w:pPr>
      <w:r w:rsidRPr="00322E2F">
        <w:rPr>
          <w:rFonts w:ascii="Stone Sans II ITC Com Bk" w:hAnsi="Stone Sans II ITC Com Bk"/>
          <w:noProof/>
          <w:lang w:eastAsia="de-DE"/>
        </w:rPr>
        <w:drawing>
          <wp:inline distT="0" distB="0" distL="0" distR="0" wp14:anchorId="45F66B46" wp14:editId="197E3BBE">
            <wp:extent cx="3209925" cy="1226927"/>
            <wp:effectExtent l="0" t="0" r="0" b="0"/>
            <wp:docPr id="2" name="Grafik 2" descr="Ein Bild, das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pielzeug enthält.&#10;&#10;Automatisch generierte Beschreibung"/>
                    <pic:cNvPicPr/>
                  </pic:nvPicPr>
                  <pic:blipFill>
                    <a:blip r:embed="rId13"/>
                    <a:stretch>
                      <a:fillRect/>
                    </a:stretch>
                  </pic:blipFill>
                  <pic:spPr>
                    <a:xfrm>
                      <a:off x="0" y="0"/>
                      <a:ext cx="3287346" cy="1256520"/>
                    </a:xfrm>
                    <a:prstGeom prst="rect">
                      <a:avLst/>
                    </a:prstGeom>
                  </pic:spPr>
                </pic:pic>
              </a:graphicData>
            </a:graphic>
          </wp:inline>
        </w:drawing>
      </w:r>
    </w:p>
    <w:p w14:paraId="3BB7F89B" w14:textId="77777777" w:rsidR="00AA1EE3" w:rsidRDefault="00AA1EE3" w:rsidP="00D975E2">
      <w:pPr>
        <w:spacing w:after="0"/>
        <w:textAlignment w:val="baseline"/>
        <w:rPr>
          <w:rFonts w:ascii="Stone Sans II ITC Com Lt" w:eastAsia="Times New Roman" w:hAnsi="Stone Sans II ITC Com Lt" w:cs="Arial"/>
          <w:sz w:val="20"/>
          <w:szCs w:val="24"/>
          <w:lang w:eastAsia="de-DE"/>
        </w:rPr>
      </w:pPr>
    </w:p>
    <w:p w14:paraId="116A2B90" w14:textId="29045A80" w:rsidR="00AA1EE3" w:rsidRDefault="00667ED8" w:rsidP="00D975E2">
      <w:pPr>
        <w:spacing w:after="0"/>
        <w:textAlignment w:val="baseline"/>
        <w:rPr>
          <w:rFonts w:ascii="Stone Sans II ITC Com Lt" w:eastAsia="Times New Roman" w:hAnsi="Stone Sans II ITC Com Lt" w:cs="Arial"/>
          <w:sz w:val="20"/>
          <w:szCs w:val="24"/>
          <w:lang w:eastAsia="de-DE"/>
        </w:rPr>
      </w:pPr>
      <w:r w:rsidRPr="00667ED8">
        <w:rPr>
          <w:rFonts w:ascii="Stone Sans II ITC Com Lt" w:eastAsia="Times New Roman" w:hAnsi="Stone Sans II ITC Com Lt" w:cs="Arial"/>
          <w:sz w:val="20"/>
          <w:szCs w:val="24"/>
          <w:lang w:eastAsia="de-DE"/>
        </w:rPr>
        <w:t xml:space="preserve">ACO </w:t>
      </w:r>
      <w:proofErr w:type="spellStart"/>
      <w:r w:rsidRPr="00667ED8">
        <w:rPr>
          <w:rFonts w:ascii="Stone Sans II ITC Com Lt" w:eastAsia="Times New Roman" w:hAnsi="Stone Sans II ITC Com Lt" w:cs="Arial"/>
          <w:sz w:val="20"/>
          <w:szCs w:val="24"/>
          <w:lang w:eastAsia="de-DE"/>
        </w:rPr>
        <w:t>Drain®Box</w:t>
      </w:r>
      <w:proofErr w:type="spellEnd"/>
      <w:r w:rsidRPr="00667ED8">
        <w:rPr>
          <w:rFonts w:ascii="Stone Sans II ITC Com Lt" w:eastAsia="Times New Roman" w:hAnsi="Stone Sans II ITC Com Lt" w:cs="Arial"/>
          <w:sz w:val="20"/>
          <w:szCs w:val="24"/>
          <w:lang w:eastAsia="de-DE"/>
        </w:rPr>
        <w:t xml:space="preserve"> City: Linien- und Punktentwässerung kombiniert mit der ACO DRAIN® Hohlbordrinne </w:t>
      </w:r>
      <w:proofErr w:type="spellStart"/>
      <w:r w:rsidRPr="00667ED8">
        <w:rPr>
          <w:rFonts w:ascii="Stone Sans II ITC Com Lt" w:eastAsia="Times New Roman" w:hAnsi="Stone Sans II ITC Com Lt" w:cs="Arial"/>
          <w:sz w:val="20"/>
          <w:szCs w:val="24"/>
          <w:lang w:eastAsia="de-DE"/>
        </w:rPr>
        <w:t>KerbDrain</w:t>
      </w:r>
      <w:proofErr w:type="spellEnd"/>
      <w:r w:rsidRPr="00667ED8">
        <w:rPr>
          <w:rFonts w:ascii="Stone Sans II ITC Com Lt" w:eastAsia="Times New Roman" w:hAnsi="Stone Sans II ITC Com Lt" w:cs="Arial"/>
          <w:sz w:val="20"/>
          <w:szCs w:val="24"/>
          <w:lang w:eastAsia="de-DE"/>
        </w:rPr>
        <w:t xml:space="preserve"> und dem Straßenablauf </w:t>
      </w:r>
      <w:proofErr w:type="spellStart"/>
      <w:r w:rsidRPr="00667ED8">
        <w:rPr>
          <w:rFonts w:ascii="Stone Sans II ITC Com Lt" w:eastAsia="Times New Roman" w:hAnsi="Stone Sans II ITC Com Lt" w:cs="Arial"/>
          <w:sz w:val="20"/>
          <w:szCs w:val="24"/>
          <w:lang w:eastAsia="de-DE"/>
        </w:rPr>
        <w:t>Combipoint</w:t>
      </w:r>
      <w:proofErr w:type="spellEnd"/>
      <w:r w:rsidRPr="00667ED8">
        <w:rPr>
          <w:rFonts w:ascii="Stone Sans II ITC Com Lt" w:eastAsia="Times New Roman" w:hAnsi="Stone Sans II ITC Com Lt" w:cs="Arial"/>
          <w:sz w:val="20"/>
          <w:szCs w:val="24"/>
          <w:lang w:eastAsia="de-DE"/>
        </w:rPr>
        <w:t xml:space="preserve"> PP</w:t>
      </w:r>
    </w:p>
    <w:p w14:paraId="46B85990" w14:textId="77777777" w:rsidR="00667ED8" w:rsidRDefault="00667ED8" w:rsidP="00D975E2">
      <w:pPr>
        <w:spacing w:after="0"/>
        <w:textAlignment w:val="baseline"/>
        <w:rPr>
          <w:rFonts w:ascii="Stone Sans II ITC Com Lt" w:eastAsia="Times New Roman" w:hAnsi="Stone Sans II ITC Com Lt" w:cs="Arial"/>
          <w:sz w:val="20"/>
          <w:szCs w:val="24"/>
          <w:lang w:eastAsia="de-DE"/>
        </w:rPr>
      </w:pPr>
    </w:p>
    <w:p w14:paraId="1B78140A" w14:textId="54820E40" w:rsidR="00667ED8" w:rsidRDefault="00B716BA" w:rsidP="00D975E2">
      <w:pPr>
        <w:spacing w:after="0"/>
        <w:textAlignment w:val="baseline"/>
        <w:rPr>
          <w:rFonts w:ascii="Stone Sans II ITC Com Lt" w:eastAsia="Times New Roman" w:hAnsi="Stone Sans II ITC Com Lt" w:cs="Arial"/>
          <w:sz w:val="20"/>
          <w:szCs w:val="24"/>
          <w:lang w:eastAsia="de-DE"/>
        </w:rPr>
      </w:pPr>
      <w:r>
        <w:rPr>
          <w:noProof/>
          <w:lang w:eastAsia="de-DE"/>
        </w:rPr>
        <w:drawing>
          <wp:inline distT="0" distB="0" distL="0" distR="0" wp14:anchorId="1C6995B4" wp14:editId="19A0D5D0">
            <wp:extent cx="4210050" cy="1621329"/>
            <wp:effectExtent l="0" t="0" r="0" b="0"/>
            <wp:docPr id="3" name="Grafik 3" descr="Ein Bild, das Überspannungsableit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Überspannungsableiter enthält.&#10;&#10;Automatisch generierte Beschreibung mit mittlerer Zuverlässigkeit"/>
                    <pic:cNvPicPr/>
                  </pic:nvPicPr>
                  <pic:blipFill>
                    <a:blip r:embed="rId14">
                      <a:extLst>
                        <a:ext uri="{28A0092B-C50C-407E-A947-70E740481C1C}">
                          <a14:useLocalDpi xmlns:a14="http://schemas.microsoft.com/office/drawing/2010/main" val="0"/>
                        </a:ext>
                      </a:extLst>
                    </a:blip>
                    <a:stretch>
                      <a:fillRect/>
                    </a:stretch>
                  </pic:blipFill>
                  <pic:spPr>
                    <a:xfrm>
                      <a:off x="0" y="0"/>
                      <a:ext cx="4251515" cy="1637298"/>
                    </a:xfrm>
                    <a:prstGeom prst="rect">
                      <a:avLst/>
                    </a:prstGeom>
                  </pic:spPr>
                </pic:pic>
              </a:graphicData>
            </a:graphic>
          </wp:inline>
        </w:drawing>
      </w:r>
    </w:p>
    <w:p w14:paraId="2F609FBF" w14:textId="23665C35" w:rsidR="00B716BA" w:rsidRDefault="00AA4E1D" w:rsidP="00D975E2">
      <w:pPr>
        <w:spacing w:after="0"/>
        <w:textAlignment w:val="baseline"/>
        <w:rPr>
          <w:rFonts w:ascii="Stone Sans II ITC Com Lt" w:eastAsia="Times New Roman" w:hAnsi="Stone Sans II ITC Com Lt" w:cs="Arial"/>
          <w:sz w:val="20"/>
          <w:szCs w:val="24"/>
          <w:lang w:eastAsia="de-DE"/>
        </w:rPr>
      </w:pPr>
      <w:r w:rsidRPr="00AA4E1D">
        <w:rPr>
          <w:rFonts w:ascii="Stone Sans II ITC Com Lt" w:eastAsia="Times New Roman" w:hAnsi="Stone Sans II ITC Com Lt" w:cs="Arial"/>
          <w:sz w:val="20"/>
          <w:szCs w:val="24"/>
          <w:lang w:eastAsia="de-DE"/>
        </w:rPr>
        <w:t xml:space="preserve">ACO </w:t>
      </w:r>
      <w:proofErr w:type="spellStart"/>
      <w:r w:rsidRPr="00AA4E1D">
        <w:rPr>
          <w:rFonts w:ascii="Stone Sans II ITC Com Lt" w:eastAsia="Times New Roman" w:hAnsi="Stone Sans II ITC Com Lt" w:cs="Arial"/>
          <w:sz w:val="20"/>
          <w:szCs w:val="24"/>
          <w:lang w:eastAsia="de-DE"/>
        </w:rPr>
        <w:t>Drain®Box</w:t>
      </w:r>
      <w:proofErr w:type="spellEnd"/>
      <w:r w:rsidRPr="00AA4E1D">
        <w:rPr>
          <w:rFonts w:ascii="Stone Sans II ITC Com Lt" w:eastAsia="Times New Roman" w:hAnsi="Stone Sans II ITC Com Lt" w:cs="Arial"/>
          <w:sz w:val="20"/>
          <w:szCs w:val="24"/>
          <w:lang w:eastAsia="de-DE"/>
        </w:rPr>
        <w:t xml:space="preserve"> Road für Autobahnen und Fernstraßen: Kombination von der ACO DRAIN® </w:t>
      </w:r>
      <w:proofErr w:type="spellStart"/>
      <w:r w:rsidRPr="00AA4E1D">
        <w:rPr>
          <w:rFonts w:ascii="Stone Sans II ITC Com Lt" w:eastAsia="Times New Roman" w:hAnsi="Stone Sans II ITC Com Lt" w:cs="Arial"/>
          <w:sz w:val="20"/>
          <w:szCs w:val="24"/>
          <w:lang w:eastAsia="de-DE"/>
        </w:rPr>
        <w:t>KerbDrain</w:t>
      </w:r>
      <w:proofErr w:type="spellEnd"/>
      <w:r w:rsidRPr="00AA4E1D">
        <w:rPr>
          <w:rFonts w:ascii="Stone Sans II ITC Com Lt" w:eastAsia="Times New Roman" w:hAnsi="Stone Sans II ITC Com Lt" w:cs="Arial"/>
          <w:sz w:val="20"/>
          <w:szCs w:val="24"/>
          <w:lang w:eastAsia="de-DE"/>
        </w:rPr>
        <w:t xml:space="preserve"> Road mit dem Straßenablauf </w:t>
      </w:r>
      <w:proofErr w:type="spellStart"/>
      <w:r w:rsidRPr="00AA4E1D">
        <w:rPr>
          <w:rFonts w:ascii="Stone Sans II ITC Com Lt" w:eastAsia="Times New Roman" w:hAnsi="Stone Sans II ITC Com Lt" w:cs="Arial"/>
          <w:sz w:val="20"/>
          <w:szCs w:val="24"/>
          <w:lang w:eastAsia="de-DE"/>
        </w:rPr>
        <w:t>Combipoint</w:t>
      </w:r>
      <w:proofErr w:type="spellEnd"/>
      <w:r w:rsidRPr="00AA4E1D">
        <w:rPr>
          <w:rFonts w:ascii="Stone Sans II ITC Com Lt" w:eastAsia="Times New Roman" w:hAnsi="Stone Sans II ITC Com Lt" w:cs="Arial"/>
          <w:sz w:val="20"/>
          <w:szCs w:val="24"/>
          <w:lang w:eastAsia="de-DE"/>
        </w:rPr>
        <w:t xml:space="preserve"> PP</w:t>
      </w:r>
    </w:p>
    <w:p w14:paraId="50159234" w14:textId="77777777" w:rsidR="00AA4E1D" w:rsidRDefault="00AA4E1D" w:rsidP="00D975E2">
      <w:pPr>
        <w:spacing w:after="0"/>
        <w:textAlignment w:val="baseline"/>
        <w:rPr>
          <w:rFonts w:ascii="Stone Sans II ITC Com Lt" w:eastAsia="Times New Roman" w:hAnsi="Stone Sans II ITC Com Lt" w:cs="Arial"/>
          <w:sz w:val="20"/>
          <w:szCs w:val="24"/>
          <w:lang w:eastAsia="de-DE"/>
        </w:rPr>
      </w:pPr>
    </w:p>
    <w:p w14:paraId="2B431814" w14:textId="7E284454" w:rsidR="006B1C13" w:rsidRDefault="006B1C13">
      <w:pPr>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br w:type="page"/>
      </w:r>
    </w:p>
    <w:p w14:paraId="69D258CD" w14:textId="77777777"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675330E7" w14:textId="3AAA1DB9"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332F6EEA" w:rsidR="0036366E" w:rsidRPr="000B433D" w:rsidRDefault="0036366E"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0646EA1E" w14:textId="5C326A14" w:rsidR="00B74E51" w:rsidRPr="00CB1D67" w:rsidRDefault="000B433D" w:rsidP="00DE73D8">
      <w:pPr>
        <w:rPr>
          <w:rStyle w:val="Hyperlink"/>
          <w:rFonts w:ascii="Stone Sans II ITC Com Lt" w:hAnsi="Stone Sans II ITC Com Lt" w:cs="Arial"/>
          <w:color w:val="000000" w:themeColor="text1"/>
          <w:sz w:val="20"/>
          <w:u w:val="none"/>
          <w:lang w:val="en-US"/>
        </w:rPr>
      </w:pPr>
      <w:r w:rsidRPr="00D9042E">
        <w:rPr>
          <w:rFonts w:ascii="Stone Sans II ITC Com Lt" w:hAnsi="Stone Sans II ITC Com Lt" w:cs="Arial"/>
          <w:b/>
          <w:bCs/>
          <w:color w:val="000000" w:themeColor="text1"/>
          <w:sz w:val="20"/>
          <w:lang w:val="en-US"/>
        </w:rPr>
        <w:t xml:space="preserve">Tanja Holst </w:t>
      </w:r>
      <w:r w:rsidR="00CB1D67" w:rsidRPr="00D9042E">
        <w:rPr>
          <w:rFonts w:ascii="Stone Sans II ITC Com Lt" w:hAnsi="Stone Sans II ITC Com Lt" w:cs="Arial"/>
          <w:b/>
          <w:bCs/>
          <w:color w:val="000000" w:themeColor="text1"/>
          <w:sz w:val="20"/>
          <w:lang w:val="en-US"/>
        </w:rPr>
        <w:br/>
      </w:r>
      <w:r w:rsidR="00CB1D67">
        <w:rPr>
          <w:rFonts w:ascii="Stone Sans II ITC Com Lt" w:hAnsi="Stone Sans II ITC Com Lt" w:cs="Arial"/>
          <w:color w:val="000000" w:themeColor="text1"/>
          <w:sz w:val="20"/>
          <w:lang w:val="en-US"/>
        </w:rPr>
        <w:t xml:space="preserve">Public Relations - </w:t>
      </w:r>
      <w:proofErr w:type="spellStart"/>
      <w:r w:rsidR="00CB1D67">
        <w:rPr>
          <w:rFonts w:ascii="Stone Sans II ITC Com Lt" w:hAnsi="Stone Sans II ITC Com Lt" w:cs="Arial"/>
          <w:color w:val="000000" w:themeColor="text1"/>
          <w:sz w:val="20"/>
          <w:lang w:val="en-US"/>
        </w:rPr>
        <w:t>Fachpresse</w:t>
      </w:r>
      <w:proofErr w:type="spellEnd"/>
      <w:r w:rsidR="00C00711">
        <w:rPr>
          <w:rFonts w:ascii="Stone Sans II ITC Com Lt" w:hAnsi="Stone Sans II ITC Com Lt" w:cs="Arial"/>
          <w:color w:val="000000"/>
          <w:sz w:val="20"/>
          <w:shd w:val="clear" w:color="auto" w:fill="FFFFFF"/>
          <w:lang w:val="en-US"/>
        </w:rPr>
        <w:br/>
      </w:r>
      <w:r w:rsidR="00DE73D8" w:rsidRPr="006E02FD">
        <w:rPr>
          <w:rFonts w:ascii="Stone Sans II ITC Com Lt" w:hAnsi="Stone Sans II ITC Com Lt" w:cs="Arial"/>
          <w:color w:val="000000"/>
          <w:sz w:val="20"/>
          <w:shd w:val="clear" w:color="auto" w:fill="FFFFFF"/>
          <w:lang w:val="en-US"/>
        </w:rPr>
        <w:t>T</w:t>
      </w:r>
      <w:r w:rsidR="00DE73D8" w:rsidRPr="006E02FD">
        <w:rPr>
          <w:rFonts w:ascii="Stone Sans II ITC Com Lt" w:hAnsi="Stone Sans II ITC Com Lt" w:cs="Arial"/>
          <w:color w:val="000000" w:themeColor="text1"/>
          <w:sz w:val="20"/>
          <w:shd w:val="clear" w:color="auto" w:fill="FFFFFF"/>
          <w:lang w:val="en-US"/>
        </w:rPr>
        <w:t>el.: </w:t>
      </w:r>
      <w:hyperlink r:id="rId15" w:history="1">
        <w:r w:rsidR="00DE73D8" w:rsidRPr="006E02FD">
          <w:rPr>
            <w:rStyle w:val="Hyperlink"/>
            <w:rFonts w:ascii="Stone Sans II ITC Com Lt" w:hAnsi="Stone Sans II ITC Com Lt" w:cs="Arial"/>
            <w:color w:val="000000" w:themeColor="text1"/>
            <w:sz w:val="20"/>
            <w:u w:val="none"/>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u w:val="none"/>
          <w:shd w:val="clear" w:color="auto" w:fill="FFFFFF"/>
          <w:lang w:val="en-US"/>
        </w:rPr>
        <w:t>197</w:t>
      </w:r>
      <w:r w:rsidRPr="006E02FD">
        <w:rPr>
          <w:rStyle w:val="Hyperlink"/>
          <w:rFonts w:ascii="Stone Sans II ITC Com Lt" w:hAnsi="Stone Sans II ITC Com Lt" w:cs="Arial"/>
          <w:color w:val="000000" w:themeColor="text1"/>
          <w:sz w:val="20"/>
          <w:u w:val="none"/>
          <w:shd w:val="clear" w:color="auto" w:fill="FFFFFF"/>
          <w:lang w:val="en-US"/>
        </w:rPr>
        <w:br/>
        <w:t>Mobil: +49 151 64738331</w:t>
      </w:r>
      <w:r w:rsidR="00D975E2" w:rsidRPr="006E02FD">
        <w:rPr>
          <w:rFonts w:ascii="Stone Sans II ITC Com Lt" w:hAnsi="Stone Sans II ITC Com Lt" w:cs="Arial"/>
          <w:color w:val="000000"/>
          <w:sz w:val="17"/>
          <w:szCs w:val="17"/>
          <w:lang w:val="en-US" w:eastAsia="de-DE"/>
        </w:rPr>
        <w:t xml:space="preserve"> </w:t>
      </w:r>
      <w:r w:rsidR="00D975E2" w:rsidRPr="006E02FD">
        <w:rPr>
          <w:rFonts w:ascii="Stone Sans II ITC Com Lt" w:hAnsi="Stone Sans II ITC Com Lt" w:cs="Arial"/>
          <w:color w:val="000000"/>
          <w:sz w:val="17"/>
          <w:szCs w:val="17"/>
          <w:lang w:val="en-US" w:eastAsia="de-DE"/>
        </w:rPr>
        <w:br/>
      </w:r>
      <w:r w:rsidR="00DE73D8" w:rsidRPr="006E02FD">
        <w:rPr>
          <w:rFonts w:ascii="Stone Sans II ITC Com Lt" w:hAnsi="Stone Sans II ITC Com Lt" w:cs="Arial"/>
          <w:color w:val="000000" w:themeColor="text1"/>
          <w:sz w:val="20"/>
          <w:shd w:val="clear" w:color="auto" w:fill="FFFFFF"/>
          <w:lang w:val="en-US"/>
        </w:rPr>
        <w:t>E-</w:t>
      </w:r>
      <w:r w:rsidR="00B95F54" w:rsidRPr="006E02FD">
        <w:rPr>
          <w:rFonts w:ascii="Stone Sans II ITC Com Lt" w:hAnsi="Stone Sans II ITC Com Lt" w:cs="Arial"/>
          <w:color w:val="000000" w:themeColor="text1"/>
          <w:sz w:val="20"/>
          <w:shd w:val="clear" w:color="auto" w:fill="FFFFFF"/>
          <w:lang w:val="en-US"/>
        </w:rPr>
        <w:t>M</w:t>
      </w:r>
      <w:r w:rsidR="00DE73D8" w:rsidRPr="006E02FD">
        <w:rPr>
          <w:rFonts w:ascii="Stone Sans II ITC Com Lt" w:hAnsi="Stone Sans II ITC Com Lt" w:cs="Arial"/>
          <w:color w:val="000000" w:themeColor="text1"/>
          <w:sz w:val="20"/>
          <w:shd w:val="clear" w:color="auto" w:fill="FFFFFF"/>
          <w:lang w:val="en-US"/>
        </w:rPr>
        <w:t>ail: </w:t>
      </w:r>
      <w:hyperlink r:id="rId16" w:history="1">
        <w:r w:rsidR="00462739" w:rsidRPr="006E02FD">
          <w:rPr>
            <w:rStyle w:val="Hyperlink"/>
            <w:rFonts w:ascii="Stone Sans II ITC Com Lt" w:hAnsi="Stone Sans II ITC Com Lt" w:cs="Arial"/>
            <w:sz w:val="20"/>
            <w:shd w:val="clear" w:color="auto" w:fill="FFFFFF"/>
            <w:lang w:val="en-US"/>
          </w:rPr>
          <w:t>tanja.holst@aco.com</w:t>
        </w:r>
      </w:hyperlink>
    </w:p>
    <w:p w14:paraId="1F266D36" w14:textId="77777777" w:rsidR="00542585" w:rsidRPr="006E02FD" w:rsidRDefault="00542585" w:rsidP="00DE73D8">
      <w:pPr>
        <w:rPr>
          <w:rStyle w:val="Hyperlink"/>
          <w:rFonts w:ascii="Arial" w:hAnsi="Arial" w:cs="Arial"/>
          <w:color w:val="000000" w:themeColor="text1"/>
          <w:sz w:val="20"/>
          <w:u w:val="none"/>
          <w:shd w:val="clear" w:color="auto" w:fill="FFFFFF"/>
          <w:lang w:val="en-US"/>
        </w:rPr>
      </w:pPr>
    </w:p>
    <w:sectPr w:rsidR="00542585" w:rsidRPr="006E02FD" w:rsidSect="00F546F0">
      <w:footerReference w:type="default" r:id="rId17"/>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0F2AD" w14:textId="77777777" w:rsidR="0021143A" w:rsidRDefault="0021143A" w:rsidP="00044844">
      <w:pPr>
        <w:spacing w:after="0" w:line="240" w:lineRule="auto"/>
      </w:pPr>
      <w:r>
        <w:separator/>
      </w:r>
    </w:p>
  </w:endnote>
  <w:endnote w:type="continuationSeparator" w:id="0">
    <w:p w14:paraId="4BA4800F" w14:textId="77777777" w:rsidR="0021143A" w:rsidRDefault="0021143A"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Bk">
    <w:panose1 w:val="020B0502040503020204"/>
    <w:charset w:val="00"/>
    <w:family w:val="swiss"/>
    <w:pitch w:val="variable"/>
    <w:sig w:usb0="A00000AF" w:usb1="5000205B" w:usb2="00000000" w:usb3="00000000" w:csb0="0000009B"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7E3B6CD1">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431B58EA">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437EB94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DEEB" w14:textId="77777777" w:rsidR="0021143A" w:rsidRDefault="0021143A" w:rsidP="00044844">
      <w:pPr>
        <w:spacing w:after="0" w:line="240" w:lineRule="auto"/>
      </w:pPr>
      <w:r>
        <w:separator/>
      </w:r>
    </w:p>
  </w:footnote>
  <w:footnote w:type="continuationSeparator" w:id="0">
    <w:p w14:paraId="26B96C91" w14:textId="77777777" w:rsidR="0021143A" w:rsidRDefault="0021143A"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130E6"/>
    <w:rsid w:val="000241E9"/>
    <w:rsid w:val="0003347E"/>
    <w:rsid w:val="00034D8F"/>
    <w:rsid w:val="000366B0"/>
    <w:rsid w:val="00036DD8"/>
    <w:rsid w:val="0003777C"/>
    <w:rsid w:val="0004480A"/>
    <w:rsid w:val="00044844"/>
    <w:rsid w:val="0006391B"/>
    <w:rsid w:val="00066AD4"/>
    <w:rsid w:val="00067C2E"/>
    <w:rsid w:val="00071C2F"/>
    <w:rsid w:val="000B31AA"/>
    <w:rsid w:val="000B433D"/>
    <w:rsid w:val="000F78C7"/>
    <w:rsid w:val="001024AB"/>
    <w:rsid w:val="00105B60"/>
    <w:rsid w:val="001216DA"/>
    <w:rsid w:val="0013362A"/>
    <w:rsid w:val="0013479F"/>
    <w:rsid w:val="00182CEE"/>
    <w:rsid w:val="001902FC"/>
    <w:rsid w:val="001A1EDB"/>
    <w:rsid w:val="001A4B88"/>
    <w:rsid w:val="001A7868"/>
    <w:rsid w:val="001B22EF"/>
    <w:rsid w:val="001B57F6"/>
    <w:rsid w:val="001D34AF"/>
    <w:rsid w:val="001D5E70"/>
    <w:rsid w:val="00204BF2"/>
    <w:rsid w:val="002064C6"/>
    <w:rsid w:val="0021143A"/>
    <w:rsid w:val="002235AE"/>
    <w:rsid w:val="00226B61"/>
    <w:rsid w:val="002363FF"/>
    <w:rsid w:val="00245EDA"/>
    <w:rsid w:val="002503CD"/>
    <w:rsid w:val="00252708"/>
    <w:rsid w:val="00252EC7"/>
    <w:rsid w:val="00265A18"/>
    <w:rsid w:val="00270A69"/>
    <w:rsid w:val="00274321"/>
    <w:rsid w:val="00284790"/>
    <w:rsid w:val="002D4FDB"/>
    <w:rsid w:val="002D67A7"/>
    <w:rsid w:val="002D77CC"/>
    <w:rsid w:val="002E7E51"/>
    <w:rsid w:val="003058CA"/>
    <w:rsid w:val="00311284"/>
    <w:rsid w:val="0031267A"/>
    <w:rsid w:val="003324AB"/>
    <w:rsid w:val="00350908"/>
    <w:rsid w:val="003567B5"/>
    <w:rsid w:val="00356D87"/>
    <w:rsid w:val="0036366E"/>
    <w:rsid w:val="00376682"/>
    <w:rsid w:val="003931C9"/>
    <w:rsid w:val="003A0B9E"/>
    <w:rsid w:val="003B38E3"/>
    <w:rsid w:val="003B4C8D"/>
    <w:rsid w:val="003B4CE2"/>
    <w:rsid w:val="003C3DA2"/>
    <w:rsid w:val="003D4EEB"/>
    <w:rsid w:val="003E00A4"/>
    <w:rsid w:val="003E6B8C"/>
    <w:rsid w:val="003E71A3"/>
    <w:rsid w:val="003F31E9"/>
    <w:rsid w:val="004005BD"/>
    <w:rsid w:val="00406A3C"/>
    <w:rsid w:val="00416C87"/>
    <w:rsid w:val="00422EC6"/>
    <w:rsid w:val="004445DB"/>
    <w:rsid w:val="00447457"/>
    <w:rsid w:val="00462739"/>
    <w:rsid w:val="0047148D"/>
    <w:rsid w:val="00472784"/>
    <w:rsid w:val="004D7038"/>
    <w:rsid w:val="004E7EF0"/>
    <w:rsid w:val="00502432"/>
    <w:rsid w:val="00504DA2"/>
    <w:rsid w:val="005068B0"/>
    <w:rsid w:val="0050698B"/>
    <w:rsid w:val="00510522"/>
    <w:rsid w:val="005176D4"/>
    <w:rsid w:val="0053352C"/>
    <w:rsid w:val="00542585"/>
    <w:rsid w:val="00565445"/>
    <w:rsid w:val="00570E74"/>
    <w:rsid w:val="00576DF6"/>
    <w:rsid w:val="00582064"/>
    <w:rsid w:val="00584E50"/>
    <w:rsid w:val="005A40D0"/>
    <w:rsid w:val="005B08C3"/>
    <w:rsid w:val="005C18B7"/>
    <w:rsid w:val="00611C56"/>
    <w:rsid w:val="00612C08"/>
    <w:rsid w:val="00634424"/>
    <w:rsid w:val="00634F90"/>
    <w:rsid w:val="00642242"/>
    <w:rsid w:val="00646509"/>
    <w:rsid w:val="00651EE9"/>
    <w:rsid w:val="00652B4C"/>
    <w:rsid w:val="0066400A"/>
    <w:rsid w:val="00667ED8"/>
    <w:rsid w:val="0067033C"/>
    <w:rsid w:val="006764EF"/>
    <w:rsid w:val="006778AF"/>
    <w:rsid w:val="00685A91"/>
    <w:rsid w:val="006971EE"/>
    <w:rsid w:val="006A0C3C"/>
    <w:rsid w:val="006B1C13"/>
    <w:rsid w:val="006C398F"/>
    <w:rsid w:val="006D5DC3"/>
    <w:rsid w:val="006E0031"/>
    <w:rsid w:val="006E02FD"/>
    <w:rsid w:val="00704140"/>
    <w:rsid w:val="00716728"/>
    <w:rsid w:val="0071733B"/>
    <w:rsid w:val="007179E6"/>
    <w:rsid w:val="0072074B"/>
    <w:rsid w:val="0074008A"/>
    <w:rsid w:val="0075575F"/>
    <w:rsid w:val="00762FA7"/>
    <w:rsid w:val="00773FBF"/>
    <w:rsid w:val="00775017"/>
    <w:rsid w:val="00790667"/>
    <w:rsid w:val="00794EB3"/>
    <w:rsid w:val="007A1EAA"/>
    <w:rsid w:val="007A55F6"/>
    <w:rsid w:val="007A5CBC"/>
    <w:rsid w:val="007D3B6D"/>
    <w:rsid w:val="007D588F"/>
    <w:rsid w:val="007D79B0"/>
    <w:rsid w:val="007E45DA"/>
    <w:rsid w:val="007F15DC"/>
    <w:rsid w:val="007F4502"/>
    <w:rsid w:val="00817C8D"/>
    <w:rsid w:val="00826048"/>
    <w:rsid w:val="00842DC3"/>
    <w:rsid w:val="00844456"/>
    <w:rsid w:val="0086253F"/>
    <w:rsid w:val="00862802"/>
    <w:rsid w:val="00864546"/>
    <w:rsid w:val="008B165E"/>
    <w:rsid w:val="008B186B"/>
    <w:rsid w:val="008C7D53"/>
    <w:rsid w:val="008D01B3"/>
    <w:rsid w:val="008E6D30"/>
    <w:rsid w:val="008F2732"/>
    <w:rsid w:val="00902C82"/>
    <w:rsid w:val="00920654"/>
    <w:rsid w:val="00932EB0"/>
    <w:rsid w:val="00934C1D"/>
    <w:rsid w:val="00936927"/>
    <w:rsid w:val="009503EA"/>
    <w:rsid w:val="00951E26"/>
    <w:rsid w:val="009645F1"/>
    <w:rsid w:val="00984FC7"/>
    <w:rsid w:val="00995C8F"/>
    <w:rsid w:val="009A4B51"/>
    <w:rsid w:val="009B0345"/>
    <w:rsid w:val="009C0B31"/>
    <w:rsid w:val="009C5B44"/>
    <w:rsid w:val="009D7D4D"/>
    <w:rsid w:val="009E094C"/>
    <w:rsid w:val="009E123B"/>
    <w:rsid w:val="00A30148"/>
    <w:rsid w:val="00A3561E"/>
    <w:rsid w:val="00A4013C"/>
    <w:rsid w:val="00A42521"/>
    <w:rsid w:val="00A5469C"/>
    <w:rsid w:val="00A5514E"/>
    <w:rsid w:val="00A65D23"/>
    <w:rsid w:val="00A76CCE"/>
    <w:rsid w:val="00A84D08"/>
    <w:rsid w:val="00A9688F"/>
    <w:rsid w:val="00AA1EE3"/>
    <w:rsid w:val="00AA378D"/>
    <w:rsid w:val="00AA4E1D"/>
    <w:rsid w:val="00AD5F9C"/>
    <w:rsid w:val="00B0337C"/>
    <w:rsid w:val="00B05F4C"/>
    <w:rsid w:val="00B14C0F"/>
    <w:rsid w:val="00B16ED4"/>
    <w:rsid w:val="00B25925"/>
    <w:rsid w:val="00B354B3"/>
    <w:rsid w:val="00B36B4C"/>
    <w:rsid w:val="00B40415"/>
    <w:rsid w:val="00B4327B"/>
    <w:rsid w:val="00B44E7E"/>
    <w:rsid w:val="00B46ECD"/>
    <w:rsid w:val="00B716BA"/>
    <w:rsid w:val="00B728A3"/>
    <w:rsid w:val="00B74530"/>
    <w:rsid w:val="00B74E51"/>
    <w:rsid w:val="00B85748"/>
    <w:rsid w:val="00B9116A"/>
    <w:rsid w:val="00B95F54"/>
    <w:rsid w:val="00BC2F52"/>
    <w:rsid w:val="00BC6514"/>
    <w:rsid w:val="00BD0911"/>
    <w:rsid w:val="00BE0C1A"/>
    <w:rsid w:val="00C00711"/>
    <w:rsid w:val="00C03AA0"/>
    <w:rsid w:val="00C04923"/>
    <w:rsid w:val="00C050A2"/>
    <w:rsid w:val="00C05110"/>
    <w:rsid w:val="00C1045C"/>
    <w:rsid w:val="00C274FC"/>
    <w:rsid w:val="00C42ED0"/>
    <w:rsid w:val="00C475C3"/>
    <w:rsid w:val="00C5681D"/>
    <w:rsid w:val="00C578FB"/>
    <w:rsid w:val="00C63C4E"/>
    <w:rsid w:val="00C64668"/>
    <w:rsid w:val="00C875AF"/>
    <w:rsid w:val="00C90F38"/>
    <w:rsid w:val="00C93C2C"/>
    <w:rsid w:val="00C961BA"/>
    <w:rsid w:val="00C97733"/>
    <w:rsid w:val="00CA2083"/>
    <w:rsid w:val="00CA371B"/>
    <w:rsid w:val="00CB1D67"/>
    <w:rsid w:val="00CB4EB3"/>
    <w:rsid w:val="00CB5832"/>
    <w:rsid w:val="00CB6EC1"/>
    <w:rsid w:val="00CF0C3C"/>
    <w:rsid w:val="00D01A8A"/>
    <w:rsid w:val="00D01A91"/>
    <w:rsid w:val="00D0325C"/>
    <w:rsid w:val="00D121B9"/>
    <w:rsid w:val="00D124E8"/>
    <w:rsid w:val="00D13E71"/>
    <w:rsid w:val="00D31A39"/>
    <w:rsid w:val="00D34C02"/>
    <w:rsid w:val="00D369FF"/>
    <w:rsid w:val="00D44918"/>
    <w:rsid w:val="00D57851"/>
    <w:rsid w:val="00D869B8"/>
    <w:rsid w:val="00D9042E"/>
    <w:rsid w:val="00D92401"/>
    <w:rsid w:val="00D975E2"/>
    <w:rsid w:val="00DA6BD9"/>
    <w:rsid w:val="00DB60A8"/>
    <w:rsid w:val="00DC4EF5"/>
    <w:rsid w:val="00DD17B3"/>
    <w:rsid w:val="00DD6AA3"/>
    <w:rsid w:val="00DE4604"/>
    <w:rsid w:val="00DE73D8"/>
    <w:rsid w:val="00DF40BA"/>
    <w:rsid w:val="00E0433B"/>
    <w:rsid w:val="00E13373"/>
    <w:rsid w:val="00E3788D"/>
    <w:rsid w:val="00E41F1B"/>
    <w:rsid w:val="00E43F83"/>
    <w:rsid w:val="00E53EA6"/>
    <w:rsid w:val="00E53ED5"/>
    <w:rsid w:val="00E61E50"/>
    <w:rsid w:val="00E764D5"/>
    <w:rsid w:val="00EB6750"/>
    <w:rsid w:val="00EC2B96"/>
    <w:rsid w:val="00EC4D69"/>
    <w:rsid w:val="00EC7A45"/>
    <w:rsid w:val="00EC7A7C"/>
    <w:rsid w:val="00ED462B"/>
    <w:rsid w:val="00ED6ED3"/>
    <w:rsid w:val="00EE4218"/>
    <w:rsid w:val="00EE5502"/>
    <w:rsid w:val="00EF60C1"/>
    <w:rsid w:val="00F02503"/>
    <w:rsid w:val="00F05BFD"/>
    <w:rsid w:val="00F07F40"/>
    <w:rsid w:val="00F1072F"/>
    <w:rsid w:val="00F13F80"/>
    <w:rsid w:val="00F2386F"/>
    <w:rsid w:val="00F546F0"/>
    <w:rsid w:val="00F83C2D"/>
    <w:rsid w:val="00F840C7"/>
    <w:rsid w:val="00F84967"/>
    <w:rsid w:val="00FA17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anja.holst@ac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tel:+49433135417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s://www.instagram.com/aco_gmbh/" TargetMode="External"/><Relationship Id="rId7" Type="http://schemas.openxmlformats.org/officeDocument/2006/relationships/hyperlink" Target="https://www.linkedin.com/company/9254055/" TargetMode="External"/><Relationship Id="rId2" Type="http://schemas.openxmlformats.org/officeDocument/2006/relationships/image" Target="media/image5.jpeg"/><Relationship Id="rId1" Type="http://schemas.openxmlformats.org/officeDocument/2006/relationships/hyperlink" Target="https://www.pinterest.de/aco_group/" TargetMode="External"/><Relationship Id="rId6" Type="http://schemas.openxmlformats.org/officeDocument/2006/relationships/image" Target="media/image7.jpeg"/><Relationship Id="rId5" Type="http://schemas.openxmlformats.org/officeDocument/2006/relationships/hyperlink" Target="https://www.youtube.com/user/ACO" TargetMode="External"/><Relationship Id="rId10" Type="http://schemas.openxmlformats.org/officeDocument/2006/relationships/image" Target="media/image9.jpeg"/><Relationship Id="rId4" Type="http://schemas.openxmlformats.org/officeDocument/2006/relationships/image" Target="media/image6.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customXml/itemProps2.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F242B5-E1AD-4C56-BDCD-07040D189CD1}">
  <ds:schemaRefs>
    <ds:schemaRef ds:uri="http://schemas.microsoft.com/sharepoint/v3/contenttype/forms"/>
  </ds:schemaRefs>
</ds:datastoreItem>
</file>

<file path=customXml/itemProps4.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563</Words>
  <Characters>4072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16</cp:revision>
  <cp:lastPrinted>2022-06-17T08:55:00Z</cp:lastPrinted>
  <dcterms:created xsi:type="dcterms:W3CDTF">2024-01-08T09:23:00Z</dcterms:created>
  <dcterms:modified xsi:type="dcterms:W3CDTF">2024-01-08T09:54:00Z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