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20B13F"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r w:rsidR="000A45DF" w:rsidRPr="000A45DF">
        <w:rPr>
          <w:rFonts w:ascii="Stone Sans II ITC Com Lt" w:hAnsi="Stone Sans II ITC Com Lt" w:cs="Arial"/>
          <w:color w:val="C00000"/>
          <w:sz w:val="34"/>
          <w:szCs w:val="34"/>
        </w:rPr>
        <w:t>Entwässerungsrinne der nächsten Generation</w:t>
      </w:r>
    </w:p>
    <w:p w14:paraId="249832EA" w14:textId="77777777" w:rsidR="00E53EA6" w:rsidRPr="000B433D" w:rsidRDefault="00E53EA6" w:rsidP="00E53EA6">
      <w:pPr>
        <w:rPr>
          <w:rFonts w:ascii="Stone Sans II ITC Com Lt" w:hAnsi="Stone Sans II ITC Com Lt"/>
          <w:color w:val="C00000"/>
          <w:sz w:val="28"/>
          <w:szCs w:val="28"/>
        </w:rPr>
      </w:pPr>
    </w:p>
    <w:p w14:paraId="4DBF2884" w14:textId="1F127820" w:rsidR="000A45DF"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92401" w:rsidRPr="000B433D">
        <w:rPr>
          <w:rFonts w:ascii="Stone Sans II ITC Com Lt" w:hAnsi="Stone Sans II ITC Com Lt" w:cs="Arial"/>
          <w:color w:val="000000" w:themeColor="text1"/>
          <w:sz w:val="20"/>
        </w:rPr>
        <w:t>,</w:t>
      </w:r>
      <w:r w:rsidR="000A45DF">
        <w:rPr>
          <w:rFonts w:ascii="Stone Sans II ITC Com Lt" w:hAnsi="Stone Sans II ITC Com Lt" w:cs="Arial"/>
          <w:color w:val="000000" w:themeColor="text1"/>
          <w:sz w:val="20"/>
        </w:rPr>
        <w:t xml:space="preserve"> </w:t>
      </w:r>
      <w:r w:rsidR="00444CA0">
        <w:rPr>
          <w:rFonts w:ascii="Stone Sans II ITC Com Lt" w:hAnsi="Stone Sans II ITC Com Lt" w:cs="Arial"/>
          <w:color w:val="000000" w:themeColor="text1"/>
          <w:sz w:val="20"/>
        </w:rPr>
        <w:t>0</w:t>
      </w:r>
      <w:r w:rsidR="006D1C40">
        <w:rPr>
          <w:rFonts w:ascii="Stone Sans II ITC Com Lt" w:hAnsi="Stone Sans II ITC Com Lt" w:cs="Arial"/>
          <w:color w:val="000000" w:themeColor="text1"/>
          <w:sz w:val="20"/>
        </w:rPr>
        <w:t>7</w:t>
      </w:r>
      <w:r w:rsidR="00444CA0">
        <w:rPr>
          <w:rFonts w:ascii="Stone Sans II ITC Com Lt" w:hAnsi="Stone Sans II ITC Com Lt" w:cs="Arial"/>
          <w:color w:val="000000" w:themeColor="text1"/>
          <w:sz w:val="20"/>
        </w:rPr>
        <w:t>.0</w:t>
      </w:r>
      <w:r w:rsidR="006D1C40">
        <w:rPr>
          <w:rFonts w:ascii="Stone Sans II ITC Com Lt" w:hAnsi="Stone Sans II ITC Com Lt" w:cs="Arial"/>
          <w:color w:val="000000" w:themeColor="text1"/>
          <w:sz w:val="20"/>
        </w:rPr>
        <w:t>5</w:t>
      </w:r>
      <w:r w:rsidR="00444CA0">
        <w:rPr>
          <w:rFonts w:ascii="Stone Sans II ITC Com Lt" w:hAnsi="Stone Sans II ITC Com Lt" w:cs="Arial"/>
          <w:color w:val="000000" w:themeColor="text1"/>
          <w:sz w:val="20"/>
        </w:rPr>
        <w:t>.2024</w:t>
      </w:r>
    </w:p>
    <w:p w14:paraId="0EE1D200" w14:textId="77777777" w:rsidR="00980D8B" w:rsidRDefault="00980D8B" w:rsidP="00980D8B">
      <w:pPr>
        <w:spacing w:line="360" w:lineRule="auto"/>
        <w:rPr>
          <w:rFonts w:ascii="Stone Sans II ITC Com Lt" w:hAnsi="Stone Sans II ITC Com Lt" w:cs="Arial"/>
          <w:b/>
          <w:bCs/>
          <w:color w:val="000000" w:themeColor="text1"/>
          <w:sz w:val="20"/>
        </w:rPr>
      </w:pPr>
    </w:p>
    <w:p w14:paraId="0D3B1EFA" w14:textId="38BEE848" w:rsidR="00980D8B" w:rsidRPr="00980D8B" w:rsidRDefault="00980D8B" w:rsidP="00980D8B">
      <w:pPr>
        <w:spacing w:line="360" w:lineRule="auto"/>
        <w:rPr>
          <w:rFonts w:ascii="Stone Sans II ITC Com Lt" w:hAnsi="Stone Sans II ITC Com Lt" w:cs="Arial"/>
          <w:b/>
          <w:bCs/>
          <w:color w:val="000000" w:themeColor="text1"/>
          <w:sz w:val="20"/>
        </w:rPr>
      </w:pPr>
      <w:r w:rsidRPr="00980D8B">
        <w:rPr>
          <w:rFonts w:ascii="Stone Sans II ITC Com Lt" w:hAnsi="Stone Sans II ITC Com Lt" w:cs="Arial"/>
          <w:b/>
          <w:bCs/>
          <w:color w:val="000000" w:themeColor="text1"/>
          <w:sz w:val="20"/>
        </w:rPr>
        <w:t xml:space="preserve">Leicht, robust, dicht: Mit der Multiline NX erweitert ACO die ACO DRAIN® Produktfamilie um eine Entwässerungsrinne aus einem innovativen Werkstoff </w:t>
      </w:r>
    </w:p>
    <w:p w14:paraId="5BCFE63E" w14:textId="11A8FECD" w:rsidR="00980D8B" w:rsidRPr="00980D8B" w:rsidRDefault="00444CA0" w:rsidP="00980D8B">
      <w:pPr>
        <w:spacing w:line="360" w:lineRule="auto"/>
        <w:rPr>
          <w:rFonts w:ascii="Stone Sans II ITC Com Lt" w:hAnsi="Stone Sans II ITC Com Lt" w:cs="Arial"/>
          <w:color w:val="000000" w:themeColor="text1"/>
          <w:sz w:val="20"/>
        </w:rPr>
      </w:pPr>
      <w:r>
        <w:rPr>
          <w:rFonts w:ascii="Stone Sans II ITC Com Lt" w:hAnsi="Stone Sans II ITC Com Lt" w:cs="Arial"/>
          <w:color w:val="000000" w:themeColor="text1"/>
          <w:sz w:val="20"/>
        </w:rPr>
        <w:t>W</w:t>
      </w:r>
      <w:r w:rsidR="00980D8B" w:rsidRPr="00980D8B">
        <w:rPr>
          <w:rFonts w:ascii="Stone Sans II ITC Com Lt" w:hAnsi="Stone Sans II ITC Com Lt" w:cs="Arial"/>
          <w:color w:val="000000" w:themeColor="text1"/>
          <w:sz w:val="20"/>
        </w:rPr>
        <w:t xml:space="preserve">egweisende Innovation für die Linienentwässerung: Unter dem Markennamen NEXITE® hat das </w:t>
      </w:r>
      <w:proofErr w:type="spellStart"/>
      <w:r w:rsidR="00980D8B" w:rsidRPr="00980D8B">
        <w:rPr>
          <w:rFonts w:ascii="Stone Sans II ITC Com Lt" w:hAnsi="Stone Sans II ITC Com Lt" w:cs="Arial"/>
          <w:color w:val="000000" w:themeColor="text1"/>
          <w:sz w:val="20"/>
        </w:rPr>
        <w:t>WaterTech</w:t>
      </w:r>
      <w:proofErr w:type="spellEnd"/>
      <w:r w:rsidR="00980D8B" w:rsidRPr="00980D8B">
        <w:rPr>
          <w:rFonts w:ascii="Stone Sans II ITC Com Lt" w:hAnsi="Stone Sans II ITC Com Lt" w:cs="Arial"/>
          <w:color w:val="000000" w:themeColor="text1"/>
          <w:sz w:val="20"/>
        </w:rPr>
        <w:t xml:space="preserve"> Unternehmen einen neuartigen Werkstoff entwickelt, der sich durch hohe Stabilität und Druckfestigkeit bei gleichzeitig geringem Gewicht auszeichnet. Neben seit Jahrzehnten bewährten Rinnen aus Polymerbeton und Kunststoff bietet ACO innerhalb seiner ACO DRAIN® Produktfamilie nun auch ein Leichtgewicht aus einem Werkstoff, der die Eigenschaften von Hochleistungsbeton übertrifft. Die ACO DRAIN® Multiline NEXITE® - kurz NX – eignet sich vor allem für den Einsatz im </w:t>
      </w:r>
      <w:proofErr w:type="spellStart"/>
      <w:r w:rsidR="00980D8B" w:rsidRPr="00980D8B">
        <w:rPr>
          <w:rFonts w:ascii="Stone Sans II ITC Com Lt" w:hAnsi="Stone Sans II ITC Com Lt" w:cs="Arial"/>
          <w:color w:val="000000" w:themeColor="text1"/>
          <w:sz w:val="20"/>
        </w:rPr>
        <w:t>GaLaBau</w:t>
      </w:r>
      <w:proofErr w:type="spellEnd"/>
      <w:r w:rsidR="00980D8B" w:rsidRPr="00980D8B">
        <w:rPr>
          <w:rFonts w:ascii="Stone Sans II ITC Com Lt" w:hAnsi="Stone Sans II ITC Com Lt" w:cs="Arial"/>
          <w:color w:val="000000" w:themeColor="text1"/>
          <w:sz w:val="20"/>
        </w:rPr>
        <w:t xml:space="preserve"> zur oberflächennahen Linienentwässerung in Wohngebieten, innerstädtischen Plätzen oder Gewerbeflächen. </w:t>
      </w:r>
    </w:p>
    <w:p w14:paraId="51C0BA4E" w14:textId="77777777" w:rsidR="00980D8B" w:rsidRPr="00980D8B" w:rsidRDefault="00980D8B" w:rsidP="00980D8B">
      <w:pPr>
        <w:spacing w:line="360" w:lineRule="auto"/>
        <w:rPr>
          <w:rFonts w:ascii="Stone Sans II ITC Com Lt" w:hAnsi="Stone Sans II ITC Com Lt" w:cs="Arial"/>
          <w:color w:val="000000" w:themeColor="text1"/>
          <w:sz w:val="20"/>
        </w:rPr>
      </w:pPr>
      <w:r w:rsidRPr="00980D8B">
        <w:rPr>
          <w:rFonts w:ascii="Stone Sans II ITC Com Lt" w:hAnsi="Stone Sans II ITC Com Lt" w:cs="Arial"/>
          <w:color w:val="000000" w:themeColor="text1"/>
          <w:sz w:val="20"/>
        </w:rPr>
        <w:t xml:space="preserve">Der jüngste Neuzugang in der ACO DRAIN® Produktfamilie verdankt seine besondere Festigkeit dem hohen Anteil an mineralischen </w:t>
      </w:r>
      <w:proofErr w:type="spellStart"/>
      <w:r w:rsidRPr="00980D8B">
        <w:rPr>
          <w:rFonts w:ascii="Stone Sans II ITC Com Lt" w:hAnsi="Stone Sans II ITC Com Lt" w:cs="Arial"/>
          <w:color w:val="000000" w:themeColor="text1"/>
          <w:sz w:val="20"/>
        </w:rPr>
        <w:t>Feinstfüllstoffen</w:t>
      </w:r>
      <w:proofErr w:type="spellEnd"/>
      <w:r w:rsidRPr="00980D8B">
        <w:rPr>
          <w:rFonts w:ascii="Stone Sans II ITC Com Lt" w:hAnsi="Stone Sans II ITC Com Lt" w:cs="Arial"/>
          <w:color w:val="000000" w:themeColor="text1"/>
          <w:sz w:val="20"/>
        </w:rPr>
        <w:t xml:space="preserve">. Durch die optimierte Packungsdichte hält die neue Rinne extremen Druckbelastungen und Umwelteinflüssen stand. Dabei wiegt sie in der Nennweite 100 unter 20 Kilogramm – deutlicher weniger als vergleichbare Standard-Betonrinnen. Die serienmäßig integrierte Seal-in-Technologie gewährleistet zudem einen durchgehend dichten Rinnenstrang und wurde durch das IKT auch für die Multiline NX entsprechend geprüft und zertifiziert. </w:t>
      </w:r>
    </w:p>
    <w:p w14:paraId="575A194D" w14:textId="77777777" w:rsidR="00980D8B" w:rsidRPr="00980D8B" w:rsidRDefault="00980D8B" w:rsidP="00980D8B">
      <w:pPr>
        <w:spacing w:line="360" w:lineRule="auto"/>
        <w:rPr>
          <w:rFonts w:ascii="Stone Sans II ITC Com Lt" w:hAnsi="Stone Sans II ITC Com Lt" w:cs="Arial"/>
          <w:b/>
          <w:bCs/>
          <w:color w:val="000000" w:themeColor="text1"/>
          <w:sz w:val="20"/>
        </w:rPr>
      </w:pPr>
      <w:r w:rsidRPr="00980D8B">
        <w:rPr>
          <w:rFonts w:ascii="Stone Sans II ITC Com Lt" w:hAnsi="Stone Sans II ITC Com Lt" w:cs="Arial"/>
          <w:b/>
          <w:bCs/>
          <w:color w:val="000000" w:themeColor="text1"/>
          <w:sz w:val="20"/>
        </w:rPr>
        <w:t>Qualität beginnt beim Werkstoff</w:t>
      </w:r>
    </w:p>
    <w:p w14:paraId="368994E9" w14:textId="77777777" w:rsidR="00980D8B" w:rsidRPr="00980D8B" w:rsidRDefault="00980D8B" w:rsidP="00980D8B">
      <w:pPr>
        <w:spacing w:line="360" w:lineRule="auto"/>
        <w:rPr>
          <w:rFonts w:ascii="Stone Sans II ITC Com Lt" w:hAnsi="Stone Sans II ITC Com Lt" w:cs="Arial"/>
          <w:color w:val="000000" w:themeColor="text1"/>
          <w:sz w:val="20"/>
        </w:rPr>
      </w:pPr>
      <w:r w:rsidRPr="00980D8B">
        <w:rPr>
          <w:rFonts w:ascii="Stone Sans II ITC Com Lt" w:hAnsi="Stone Sans II ITC Com Lt" w:cs="Arial"/>
          <w:color w:val="000000" w:themeColor="text1"/>
          <w:sz w:val="20"/>
        </w:rPr>
        <w:t xml:space="preserve">Hohe Standards erfüllt die ACO DRAIN® Multiline NX auch bei der Werkstoffqualität. „Wie bei jeder Produktentwicklung in unserem Hause haben wir beim Werkstoffdesign über die Qualitäts- und Sicherheitsanforderungen hinaus wesentliche ökologische Aspekte berücksichtigt“, erklärt Sebastian Danckert-Ebens, Geschäftsführer der ACO GmbH. Der Werkstoff lässt sich vollständig recyceln und in den </w:t>
      </w:r>
      <w:r w:rsidRPr="00980D8B">
        <w:rPr>
          <w:rFonts w:ascii="Stone Sans II ITC Com Lt" w:hAnsi="Stone Sans II ITC Com Lt" w:cs="Arial"/>
          <w:color w:val="000000" w:themeColor="text1"/>
          <w:sz w:val="20"/>
        </w:rPr>
        <w:lastRenderedPageBreak/>
        <w:t xml:space="preserve">natürlichen Wertstoffkreislauf zurückführen. NEXITE® wurde von der KIWA, einem weltweit anerkannten, unabhängigen Spezialisten für die Zertifizierung von Baustoffen und Bauprodukten, gemäß </w:t>
      </w:r>
      <w:proofErr w:type="spellStart"/>
      <w:r w:rsidRPr="00980D8B">
        <w:rPr>
          <w:rFonts w:ascii="Stone Sans II ITC Com Lt" w:hAnsi="Stone Sans II ITC Com Lt" w:cs="Arial"/>
          <w:color w:val="000000" w:themeColor="text1"/>
          <w:sz w:val="20"/>
        </w:rPr>
        <w:t>Kiwa</w:t>
      </w:r>
      <w:proofErr w:type="spellEnd"/>
      <w:r w:rsidRPr="00980D8B">
        <w:rPr>
          <w:rFonts w:ascii="Stone Sans II ITC Com Lt" w:hAnsi="Stone Sans II ITC Com Lt" w:cs="Arial"/>
          <w:color w:val="000000" w:themeColor="text1"/>
          <w:sz w:val="20"/>
        </w:rPr>
        <w:t xml:space="preserve"> BRL 5070 umweltzertifiziert.  </w:t>
      </w:r>
    </w:p>
    <w:p w14:paraId="572284BC" w14:textId="1F942CCF" w:rsidR="00980D8B" w:rsidRPr="00980D8B" w:rsidRDefault="00980D8B" w:rsidP="00980D8B">
      <w:pPr>
        <w:spacing w:line="360" w:lineRule="auto"/>
        <w:rPr>
          <w:rFonts w:ascii="Stone Sans II ITC Com Lt" w:hAnsi="Stone Sans II ITC Com Lt" w:cs="Arial"/>
          <w:color w:val="000000" w:themeColor="text1"/>
          <w:sz w:val="20"/>
        </w:rPr>
      </w:pPr>
      <w:r w:rsidRPr="00980D8B">
        <w:rPr>
          <w:rFonts w:ascii="Stone Sans II ITC Com Lt" w:hAnsi="Stone Sans II ITC Com Lt" w:cs="Arial"/>
          <w:color w:val="000000" w:themeColor="text1"/>
          <w:sz w:val="20"/>
        </w:rPr>
        <w:t>Die Multiline NX wird mit drei Materialvarianten für den Kantenschutz angeboten: Stahl verzinkt, Gusseisen und neu Kunststoff. Damit bietet das neue Rinnensystem Flexibilität und Materialhomogenität für unterschiedliche Anwendungsbereiche. In der Kombination von Kantenschutz und Abdeckung aus Kunststoff ist die ACO DRAIN®</w:t>
      </w:r>
      <w:r>
        <w:rPr>
          <w:rFonts w:ascii="Stone Sans II ITC Com Lt" w:hAnsi="Stone Sans II ITC Com Lt" w:cs="Arial"/>
          <w:color w:val="000000" w:themeColor="text1"/>
          <w:sz w:val="20"/>
        </w:rPr>
        <w:t xml:space="preserve"> </w:t>
      </w:r>
      <w:r w:rsidRPr="00980D8B">
        <w:rPr>
          <w:rFonts w:ascii="Stone Sans II ITC Com Lt" w:hAnsi="Stone Sans II ITC Com Lt" w:cs="Arial"/>
          <w:color w:val="000000" w:themeColor="text1"/>
          <w:sz w:val="20"/>
        </w:rPr>
        <w:t xml:space="preserve">Multiline NX aus NEXITE® die nachhaltigste Variante in der ACO DRAIN® Familie.  </w:t>
      </w:r>
    </w:p>
    <w:p w14:paraId="4A858FA2" w14:textId="3BFC20C5" w:rsidR="00980D8B" w:rsidRPr="00980D8B" w:rsidRDefault="00C96F7C" w:rsidP="00980D8B">
      <w:pPr>
        <w:spacing w:line="360" w:lineRule="auto"/>
        <w:rPr>
          <w:rFonts w:ascii="Stone Sans II ITC Com Lt" w:hAnsi="Stone Sans II ITC Com Lt" w:cs="Arial"/>
          <w:b/>
          <w:bCs/>
          <w:color w:val="000000" w:themeColor="text1"/>
          <w:sz w:val="20"/>
        </w:rPr>
      </w:pPr>
      <w:r w:rsidRPr="00980D8B">
        <w:rPr>
          <w:rFonts w:ascii="Stone Sans II ITC Com Lt" w:hAnsi="Stone Sans II ITC Com Lt" w:cs="Arial"/>
          <w:b/>
          <w:bCs/>
          <w:color w:val="000000" w:themeColor="text1"/>
          <w:sz w:val="20"/>
        </w:rPr>
        <w:t>NEXITE®</w:t>
      </w:r>
      <w:r>
        <w:rPr>
          <w:rFonts w:ascii="Stone Sans II ITC Com Lt" w:hAnsi="Stone Sans II ITC Com Lt" w:cs="Arial"/>
          <w:b/>
          <w:bCs/>
          <w:color w:val="000000" w:themeColor="text1"/>
          <w:sz w:val="20"/>
        </w:rPr>
        <w:t xml:space="preserve">, </w:t>
      </w:r>
      <w:r w:rsidR="00980D8B" w:rsidRPr="00980D8B">
        <w:rPr>
          <w:rFonts w:ascii="Stone Sans II ITC Com Lt" w:hAnsi="Stone Sans II ITC Com Lt" w:cs="Arial"/>
          <w:b/>
          <w:bCs/>
          <w:color w:val="000000" w:themeColor="text1"/>
          <w:sz w:val="20"/>
        </w:rPr>
        <w:t>Polymerbeton, Kunststoff: Werkstoffpower für jeden Bedarf</w:t>
      </w:r>
    </w:p>
    <w:p w14:paraId="00E40E3A" w14:textId="7F5CA0DD" w:rsidR="00980D8B" w:rsidRPr="00980D8B" w:rsidRDefault="00980D8B" w:rsidP="00980D8B">
      <w:pPr>
        <w:spacing w:line="360" w:lineRule="auto"/>
        <w:rPr>
          <w:rFonts w:ascii="Stone Sans II ITC Com Lt" w:hAnsi="Stone Sans II ITC Com Lt" w:cs="Arial"/>
          <w:color w:val="000000" w:themeColor="text1"/>
          <w:sz w:val="20"/>
        </w:rPr>
      </w:pPr>
      <w:r w:rsidRPr="00980D8B">
        <w:rPr>
          <w:rFonts w:ascii="Stone Sans II ITC Com Lt" w:hAnsi="Stone Sans II ITC Com Lt" w:cs="Arial"/>
          <w:color w:val="000000" w:themeColor="text1"/>
          <w:sz w:val="20"/>
        </w:rPr>
        <w:t xml:space="preserve">In mehr als 50 Jahren hat ACO seine ACO DRAIN® Familie kontinuierlich ausgebaut. Immer leistungsfähigere Rinnen aus Polymerbeton, Kunststoff und jetzt NEXITE® sowie Kantenschutz und </w:t>
      </w:r>
      <w:proofErr w:type="gramStart"/>
      <w:r w:rsidRPr="00980D8B">
        <w:rPr>
          <w:rFonts w:ascii="Stone Sans II ITC Com Lt" w:hAnsi="Stone Sans II ITC Com Lt" w:cs="Arial"/>
          <w:color w:val="000000" w:themeColor="text1"/>
          <w:sz w:val="20"/>
        </w:rPr>
        <w:t>Roste</w:t>
      </w:r>
      <w:proofErr w:type="gramEnd"/>
      <w:r w:rsidRPr="00980D8B">
        <w:rPr>
          <w:rFonts w:ascii="Stone Sans II ITC Com Lt" w:hAnsi="Stone Sans II ITC Com Lt" w:cs="Arial"/>
          <w:color w:val="000000" w:themeColor="text1"/>
          <w:sz w:val="20"/>
        </w:rPr>
        <w:t xml:space="preserve"> aus Stahl verzinkt, Edelstahl, Gusseisen und Kunststoff wurden ins Programm aufgenommen. Heute gilt die Produktlinie international als Maßstab für zukunftssichere Entwässerung. Mit der Entwicklung von NEXITE® hat ACO seine Multimaterialkompetenz erneut unter Beweis gestellt. Ob Polymerbeton, Kunststoff oder NEXITE®: Alle Rinnenkörper sind variabel mit dem Kantenschutz - und Rostsortiment kombinierbar. „Unser Anspruch ist es, mit dem ACO DRAIN® Designbaukasten Architekten, Planern und Verarbeitern größtmögliche Flexibilität für die Gestaltung von Freiräumen, Infrastrukturen und Gebäuden zu bieten. Damit erfüllen wir die umfangreichen Anforderungen des Marktes in Bezug auf Flexibilität und Wirtschaftlichkeit“ so ACO Geschäftsfeldleiter Entwässerung </w:t>
      </w:r>
      <w:proofErr w:type="spellStart"/>
      <w:r w:rsidRPr="00980D8B">
        <w:rPr>
          <w:rFonts w:ascii="Stone Sans II ITC Com Lt" w:hAnsi="Stone Sans II ITC Com Lt" w:cs="Arial"/>
          <w:color w:val="000000" w:themeColor="text1"/>
          <w:sz w:val="20"/>
        </w:rPr>
        <w:t>GaLaBau</w:t>
      </w:r>
      <w:proofErr w:type="spellEnd"/>
      <w:r w:rsidRPr="00980D8B">
        <w:rPr>
          <w:rFonts w:ascii="Stone Sans II ITC Com Lt" w:hAnsi="Stone Sans II ITC Com Lt" w:cs="Arial"/>
          <w:color w:val="000000" w:themeColor="text1"/>
          <w:sz w:val="20"/>
        </w:rPr>
        <w:t xml:space="preserve"> Tim Uhing.</w:t>
      </w:r>
    </w:p>
    <w:p w14:paraId="4802686A" w14:textId="49DC7FA1" w:rsidR="00980D8B" w:rsidRPr="00980D8B" w:rsidRDefault="00980D8B" w:rsidP="00980D8B">
      <w:pPr>
        <w:spacing w:line="360" w:lineRule="auto"/>
        <w:rPr>
          <w:rFonts w:ascii="Stone Sans II ITC Com Lt" w:hAnsi="Stone Sans II ITC Com Lt" w:cs="Arial"/>
          <w:color w:val="000000" w:themeColor="text1"/>
          <w:sz w:val="20"/>
        </w:rPr>
      </w:pPr>
      <w:r w:rsidRPr="00980D8B">
        <w:rPr>
          <w:rFonts w:ascii="Stone Sans II ITC Com Lt" w:hAnsi="Stone Sans II ITC Com Lt" w:cs="Arial"/>
          <w:color w:val="000000" w:themeColor="text1"/>
          <w:sz w:val="20"/>
        </w:rPr>
        <w:t xml:space="preserve">Alle Informationen zur Markteinführung der neuen Entwässerungsrinne ACO DRAIN® Multiline NX finden Sie unter </w:t>
      </w:r>
      <w:hyperlink r:id="rId12" w:history="1">
        <w:r w:rsidR="007A492F" w:rsidRPr="00C93BB7">
          <w:rPr>
            <w:rStyle w:val="Hyperlink"/>
            <w:rFonts w:ascii="Stone Sans II ITC Com Lt" w:hAnsi="Stone Sans II ITC Com Lt" w:cs="Arial"/>
            <w:sz w:val="20"/>
          </w:rPr>
          <w:t>www.aco.de/nexite</w:t>
        </w:r>
      </w:hyperlink>
      <w:r w:rsidRPr="00980D8B">
        <w:rPr>
          <w:rFonts w:ascii="Stone Sans II ITC Com Lt" w:hAnsi="Stone Sans II ITC Com Lt" w:cs="Arial"/>
          <w:color w:val="000000" w:themeColor="text1"/>
          <w:sz w:val="20"/>
        </w:rPr>
        <w:t xml:space="preserve">.  </w:t>
      </w:r>
    </w:p>
    <w:p w14:paraId="2553FF34" w14:textId="13B8D341" w:rsidR="00F05BFD" w:rsidRPr="00D01A91" w:rsidRDefault="00980D8B" w:rsidP="00980D8B">
      <w:pPr>
        <w:spacing w:line="360" w:lineRule="auto"/>
        <w:rPr>
          <w:rFonts w:ascii="Stone Sans II ITC Com Lt" w:hAnsi="Stone Sans II ITC Com Lt" w:cs="Arial"/>
          <w:color w:val="000000" w:themeColor="text1"/>
          <w:sz w:val="20"/>
          <w:szCs w:val="20"/>
        </w:rPr>
      </w:pPr>
      <w:r w:rsidRPr="00980D8B">
        <w:rPr>
          <w:rFonts w:ascii="Stone Sans II ITC Com Lt" w:hAnsi="Stone Sans II ITC Com Lt" w:cs="Arial"/>
          <w:color w:val="000000" w:themeColor="text1"/>
          <w:sz w:val="20"/>
        </w:rPr>
        <w:t xml:space="preserve">(Ca. </w:t>
      </w:r>
      <w:r w:rsidR="00E461FF">
        <w:rPr>
          <w:rFonts w:ascii="Stone Sans II ITC Com Lt" w:hAnsi="Stone Sans II ITC Com Lt" w:cs="Arial"/>
          <w:color w:val="000000" w:themeColor="text1"/>
          <w:sz w:val="20"/>
        </w:rPr>
        <w:t>3.644</w:t>
      </w:r>
      <w:r w:rsidRPr="00980D8B">
        <w:rPr>
          <w:rFonts w:ascii="Stone Sans II ITC Com Lt" w:hAnsi="Stone Sans II ITC Com Lt" w:cs="Arial"/>
          <w:color w:val="000000" w:themeColor="text1"/>
          <w:sz w:val="20"/>
        </w:rPr>
        <w:t xml:space="preserve"> Zeichen)</w:t>
      </w:r>
    </w:p>
    <w:p w14:paraId="17B5CF08" w14:textId="1B89D1E5" w:rsidR="00AD5F9C" w:rsidRDefault="002B468D" w:rsidP="00F05BFD">
      <w:pPr>
        <w:pStyle w:val="Default"/>
        <w:spacing w:line="360" w:lineRule="auto"/>
        <w:rPr>
          <w:rFonts w:ascii="Stone Sans II ITC Com Lt" w:hAnsi="Stone Sans II ITC Com Lt"/>
          <w:iCs/>
          <w:sz w:val="20"/>
          <w:szCs w:val="20"/>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2591747" wp14:editId="7EEB717E">
                <wp:simplePos x="0" y="0"/>
                <wp:positionH relativeFrom="margin">
                  <wp:align>left</wp:align>
                </wp:positionH>
                <wp:positionV relativeFrom="paragraph">
                  <wp:posOffset>170603</wp:posOffset>
                </wp:positionV>
                <wp:extent cx="5889326" cy="1778311"/>
                <wp:effectExtent l="0" t="0" r="16510" b="12700"/>
                <wp:wrapNone/>
                <wp:docPr id="16" name="Textfeld 16"/>
                <wp:cNvGraphicFramePr/>
                <a:graphic xmlns:a="http://schemas.openxmlformats.org/drawingml/2006/main">
                  <a:graphicData uri="http://schemas.microsoft.com/office/word/2010/wordprocessingShape">
                    <wps:wsp>
                      <wps:cNvSpPr txBox="1"/>
                      <wps:spPr>
                        <a:xfrm>
                          <a:off x="0" y="0"/>
                          <a:ext cx="5889326" cy="1778311"/>
                        </a:xfrm>
                        <a:prstGeom prst="rect">
                          <a:avLst/>
                        </a:prstGeom>
                        <a:solidFill>
                          <a:schemeClr val="lt1"/>
                        </a:solidFill>
                        <a:ln w="6350">
                          <a:solidFill>
                            <a:srgbClr val="0070C0"/>
                          </a:solidFill>
                        </a:ln>
                      </wps:spPr>
                      <wps:txbx>
                        <w:txbxContent>
                          <w:p w14:paraId="0413CB64" w14:textId="229737EC" w:rsidR="00346221" w:rsidRPr="00BD54FA" w:rsidRDefault="00346221" w:rsidP="00346221">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 xml:space="preserve">Als Teil der weltweiten ACO Gruppe gehört die ACO GmbH zu den führenden Anbietern ganzheitlicher Systemlösungen rund um die klimaresiliente Freiraum-, Infrastruktur- und Gebäudeplanung. Der nachhaltige Umgang mit der wertvollen Ressource Wasser, verdeutlicht durch den Claim „ACO. </w:t>
                            </w:r>
                            <w:proofErr w:type="spellStart"/>
                            <w:r w:rsidRPr="00472784">
                              <w:rPr>
                                <w:rFonts w:ascii="Stone Sans II ITC Com Lt" w:hAnsi="Stone Sans II ITC Com Lt"/>
                                <w:iCs/>
                                <w:sz w:val="20"/>
                                <w:szCs w:val="20"/>
                              </w:rPr>
                              <w:t>we</w:t>
                            </w:r>
                            <w:proofErr w:type="spellEnd"/>
                            <w:r w:rsidRPr="00472784">
                              <w:rPr>
                                <w:rFonts w:ascii="Stone Sans II ITC Com Lt" w:hAnsi="Stone Sans II ITC Com Lt"/>
                                <w:iCs/>
                                <w:sz w:val="20"/>
                                <w:szCs w:val="20"/>
                              </w:rPr>
                              <w:t xml:space="preserve"> care </w:t>
                            </w:r>
                            <w:proofErr w:type="spellStart"/>
                            <w:r w:rsidRPr="00472784">
                              <w:rPr>
                                <w:rFonts w:ascii="Stone Sans II ITC Com Lt" w:hAnsi="Stone Sans II ITC Com Lt"/>
                                <w:iCs/>
                                <w:sz w:val="20"/>
                                <w:szCs w:val="20"/>
                              </w:rPr>
                              <w:t>for</w:t>
                            </w:r>
                            <w:proofErr w:type="spellEnd"/>
                            <w:r w:rsidRPr="00472784">
                              <w:rPr>
                                <w:rFonts w:ascii="Stone Sans II ITC Com Lt" w:hAnsi="Stone Sans II ITC Com Lt"/>
                                <w:iCs/>
                                <w:sz w:val="20"/>
                                <w:szCs w:val="20"/>
                              </w:rPr>
                              <w:t xml:space="preserve"> </w:t>
                            </w:r>
                            <w:proofErr w:type="spellStart"/>
                            <w:r w:rsidRPr="00472784">
                              <w:rPr>
                                <w:rFonts w:ascii="Stone Sans II ITC Com Lt" w:hAnsi="Stone Sans II ITC Com Lt"/>
                                <w:iCs/>
                                <w:sz w:val="20"/>
                                <w:szCs w:val="20"/>
                              </w:rPr>
                              <w:t>water</w:t>
                            </w:r>
                            <w:proofErr w:type="spellEnd"/>
                            <w:r w:rsidRPr="00472784">
                              <w:rPr>
                                <w:rFonts w:ascii="Stone Sans II ITC Com Lt" w:hAnsi="Stone Sans II ITC Com Lt"/>
                                <w:iCs/>
                                <w:sz w:val="20"/>
                                <w:szCs w:val="20"/>
                              </w:rPr>
                              <w:t xml:space="preserve">“, steht im Mittelpunkt aller Unternehmensaktivitäten. Mit dem ACO </w:t>
                            </w:r>
                            <w:proofErr w:type="spellStart"/>
                            <w:r w:rsidRPr="00472784">
                              <w:rPr>
                                <w:rFonts w:ascii="Stone Sans II ITC Com Lt" w:hAnsi="Stone Sans II ITC Com Lt"/>
                                <w:iCs/>
                                <w:sz w:val="20"/>
                                <w:szCs w:val="20"/>
                              </w:rPr>
                              <w:t>WaterCycle</w:t>
                            </w:r>
                            <w:proofErr w:type="spellEnd"/>
                            <w:r w:rsidRPr="00472784">
                              <w:rPr>
                                <w:rFonts w:ascii="Stone Sans II ITC Com Lt" w:hAnsi="Stone Sans II ITC Com Lt"/>
                                <w:iCs/>
                                <w:sz w:val="20"/>
                                <w:szCs w:val="20"/>
                              </w:rPr>
                              <w:t xml:space="preserve"> bietet das Unternehmen ein breites Spektrum an</w:t>
                            </w:r>
                            <w:r>
                              <w:rPr>
                                <w:rFonts w:ascii="Stone Sans II ITC Com Lt" w:hAnsi="Stone Sans II ITC Com Lt"/>
                                <w:iCs/>
                                <w:sz w:val="20"/>
                                <w:szCs w:val="20"/>
                              </w:rPr>
                              <w:t xml:space="preserve"> </w:t>
                            </w:r>
                            <w:r w:rsidRPr="00472784">
                              <w:rPr>
                                <w:rFonts w:ascii="Stone Sans II ITC Com Lt" w:hAnsi="Stone Sans II ITC Com Lt"/>
                                <w:iCs/>
                                <w:sz w:val="20"/>
                                <w:szCs w:val="20"/>
                              </w:rPr>
                              <w:t>Systemlösungen, um Oberflächenwasser oder Abwasser zu sammeln, aufzubereiten, zurückzuhalten und wieder zur Verfügung zu stellen. Darüber hinaus berät und unterstützt ein starkes Außen- und Innendienstteam alle Objektbeteiligten in jeder Projektphase.</w:t>
                            </w:r>
                          </w:p>
                          <w:p w14:paraId="75FF1F91" w14:textId="598951CB" w:rsidR="002B468D" w:rsidRPr="00BD54FA" w:rsidRDefault="002B468D" w:rsidP="002B468D">
                            <w:pPr>
                              <w:rPr>
                                <w:rFonts w:ascii="Stone Sans II ITC Com Lt" w:hAnsi="Stone Sans II ITC Com Lt"/>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591747" id="_x0000_t202" coordsize="21600,21600" o:spt="202" path="m,l,21600r21600,l21600,xe">
                <v:stroke joinstyle="miter"/>
                <v:path gradientshapeok="t" o:connecttype="rect"/>
              </v:shapetype>
              <v:shape id="Textfeld 16" o:spid="_x0000_s1026" type="#_x0000_t202" style="position:absolute;margin-left:0;margin-top:13.45pt;width:463.75pt;height:140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" fillcolor="white [3201]" strokecolor="#0070c0" strokeweight=".5pt">
                <v:textbox>
                  <w:txbxContent>
                    <w:p w14:paraId="0413CB64" w14:textId="229737EC" w:rsidR="00346221" w:rsidRPr="00BD54FA" w:rsidRDefault="00346221" w:rsidP="00346221">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 xml:space="preserve">Als Teil der weltweiten ACO Gruppe gehört die ACO GmbH zu den führenden Anbietern ganzheitlicher Systemlösungen rund um die klimaresiliente Freiraum-, Infrastruktur- und Gebäudeplanung. Der nachhaltige Umgang mit der wertvollen Ressource Wasser, verdeutlicht durch den Claim „ACO. </w:t>
                      </w:r>
                      <w:proofErr w:type="spellStart"/>
                      <w:r w:rsidRPr="00472784">
                        <w:rPr>
                          <w:rFonts w:ascii="Stone Sans II ITC Com Lt" w:hAnsi="Stone Sans II ITC Com Lt"/>
                          <w:iCs/>
                          <w:sz w:val="20"/>
                          <w:szCs w:val="20"/>
                        </w:rPr>
                        <w:t>we</w:t>
                      </w:r>
                      <w:proofErr w:type="spellEnd"/>
                      <w:r w:rsidRPr="00472784">
                        <w:rPr>
                          <w:rFonts w:ascii="Stone Sans II ITC Com Lt" w:hAnsi="Stone Sans II ITC Com Lt"/>
                          <w:iCs/>
                          <w:sz w:val="20"/>
                          <w:szCs w:val="20"/>
                        </w:rPr>
                        <w:t xml:space="preserve"> care </w:t>
                      </w:r>
                      <w:proofErr w:type="spellStart"/>
                      <w:r w:rsidRPr="00472784">
                        <w:rPr>
                          <w:rFonts w:ascii="Stone Sans II ITC Com Lt" w:hAnsi="Stone Sans II ITC Com Lt"/>
                          <w:iCs/>
                          <w:sz w:val="20"/>
                          <w:szCs w:val="20"/>
                        </w:rPr>
                        <w:t>for</w:t>
                      </w:r>
                      <w:proofErr w:type="spellEnd"/>
                      <w:r w:rsidRPr="00472784">
                        <w:rPr>
                          <w:rFonts w:ascii="Stone Sans II ITC Com Lt" w:hAnsi="Stone Sans II ITC Com Lt"/>
                          <w:iCs/>
                          <w:sz w:val="20"/>
                          <w:szCs w:val="20"/>
                        </w:rPr>
                        <w:t xml:space="preserve"> </w:t>
                      </w:r>
                      <w:proofErr w:type="spellStart"/>
                      <w:r w:rsidRPr="00472784">
                        <w:rPr>
                          <w:rFonts w:ascii="Stone Sans II ITC Com Lt" w:hAnsi="Stone Sans II ITC Com Lt"/>
                          <w:iCs/>
                          <w:sz w:val="20"/>
                          <w:szCs w:val="20"/>
                        </w:rPr>
                        <w:t>water</w:t>
                      </w:r>
                      <w:proofErr w:type="spellEnd"/>
                      <w:r w:rsidRPr="00472784">
                        <w:rPr>
                          <w:rFonts w:ascii="Stone Sans II ITC Com Lt" w:hAnsi="Stone Sans II ITC Com Lt"/>
                          <w:iCs/>
                          <w:sz w:val="20"/>
                          <w:szCs w:val="20"/>
                        </w:rPr>
                        <w:t xml:space="preserve">“, steht im Mittelpunkt aller Unternehmensaktivitäten. Mit dem ACO </w:t>
                      </w:r>
                      <w:proofErr w:type="spellStart"/>
                      <w:r w:rsidRPr="00472784">
                        <w:rPr>
                          <w:rFonts w:ascii="Stone Sans II ITC Com Lt" w:hAnsi="Stone Sans II ITC Com Lt"/>
                          <w:iCs/>
                          <w:sz w:val="20"/>
                          <w:szCs w:val="20"/>
                        </w:rPr>
                        <w:t>WaterCycle</w:t>
                      </w:r>
                      <w:proofErr w:type="spellEnd"/>
                      <w:r w:rsidRPr="00472784">
                        <w:rPr>
                          <w:rFonts w:ascii="Stone Sans II ITC Com Lt" w:hAnsi="Stone Sans II ITC Com Lt"/>
                          <w:iCs/>
                          <w:sz w:val="20"/>
                          <w:szCs w:val="20"/>
                        </w:rPr>
                        <w:t xml:space="preserve"> bietet das Unternehmen ein breites Spektrum an</w:t>
                      </w:r>
                      <w:r>
                        <w:rPr>
                          <w:rFonts w:ascii="Stone Sans II ITC Com Lt" w:hAnsi="Stone Sans II ITC Com Lt"/>
                          <w:iCs/>
                          <w:sz w:val="20"/>
                          <w:szCs w:val="20"/>
                        </w:rPr>
                        <w:t xml:space="preserve"> </w:t>
                      </w:r>
                      <w:r w:rsidRPr="00472784">
                        <w:rPr>
                          <w:rFonts w:ascii="Stone Sans II ITC Com Lt" w:hAnsi="Stone Sans II ITC Com Lt"/>
                          <w:iCs/>
                          <w:sz w:val="20"/>
                          <w:szCs w:val="20"/>
                        </w:rPr>
                        <w:t>Systemlösungen, um Oberflächenwasser oder Abwasser zu sammeln, aufzubereiten, zurückzuhalten und wieder zur Verfügung zu stellen. Darüber hinaus berät und unterstützt ein starkes Außen- und Innendienstteam alle Objektbeteiligten in jeder Projektphase.</w:t>
                      </w:r>
                    </w:p>
                    <w:p w14:paraId="75FF1F91" w14:textId="598951CB" w:rsidR="002B468D" w:rsidRPr="00BD54FA" w:rsidRDefault="002B468D" w:rsidP="002B468D">
                      <w:pPr>
                        <w:rPr>
                          <w:rFonts w:ascii="Stone Sans II ITC Com Lt" w:hAnsi="Stone Sans II ITC Com Lt"/>
                          <w:iCs/>
                          <w:sz w:val="20"/>
                          <w:szCs w:val="20"/>
                        </w:rPr>
                      </w:pPr>
                    </w:p>
                  </w:txbxContent>
                </v:textbox>
                <w10:wrap anchorx="margin"/>
              </v:shape>
            </w:pict>
          </mc:Fallback>
        </mc:AlternateContent>
      </w:r>
    </w:p>
    <w:p w14:paraId="3DCB7BCC" w14:textId="7614EBE8" w:rsidR="002B468D" w:rsidRDefault="002B468D" w:rsidP="002B468D">
      <w:pPr>
        <w:pStyle w:val="Default"/>
        <w:spacing w:line="360" w:lineRule="auto"/>
        <w:rPr>
          <w:rFonts w:ascii="Stone Sans II ITC Com Lt" w:hAnsi="Stone Sans II ITC Com Lt"/>
          <w:iCs/>
          <w:sz w:val="20"/>
          <w:szCs w:val="20"/>
        </w:rPr>
      </w:pPr>
    </w:p>
    <w:p w14:paraId="1FB64B78" w14:textId="77777777" w:rsidR="002B468D" w:rsidRDefault="002B468D" w:rsidP="00F05BFD">
      <w:pPr>
        <w:pStyle w:val="Default"/>
        <w:spacing w:line="360" w:lineRule="auto"/>
        <w:rPr>
          <w:rFonts w:ascii="Stone Sans II ITC Com Lt" w:hAnsi="Stone Sans II ITC Com Lt"/>
          <w:iCs/>
          <w:sz w:val="20"/>
          <w:szCs w:val="20"/>
        </w:rPr>
      </w:pPr>
    </w:p>
    <w:p w14:paraId="5C2AFFE7" w14:textId="77777777" w:rsidR="00BC6514" w:rsidRPr="00B74E51" w:rsidRDefault="00BC6514" w:rsidP="00B728A3">
      <w:pPr>
        <w:pStyle w:val="Default"/>
        <w:spacing w:line="360" w:lineRule="auto"/>
        <w:rPr>
          <w:rFonts w:ascii="Stone Sans II ITC Com Lt" w:hAnsi="Stone Sans II ITC Com Lt"/>
          <w:iCs/>
          <w:sz w:val="20"/>
          <w:szCs w:val="20"/>
        </w:rPr>
      </w:pPr>
    </w:p>
    <w:p w14:paraId="78A83055" w14:textId="77777777" w:rsidR="00D975E2" w:rsidRPr="000B433D" w:rsidRDefault="00D975E2" w:rsidP="00D975E2">
      <w:pPr>
        <w:spacing w:after="0"/>
        <w:rPr>
          <w:rFonts w:ascii="Stone Sans II ITC Com Lt" w:eastAsia="Times New Roman" w:hAnsi="Stone Sans II ITC Com Lt" w:cs="Arial"/>
          <w:sz w:val="20"/>
          <w:szCs w:val="24"/>
          <w:lang w:eastAsia="de-DE"/>
        </w:rPr>
      </w:pPr>
    </w:p>
    <w:p w14:paraId="1D251223" w14:textId="4C3F8A4D" w:rsidR="002B468D" w:rsidRDefault="002B468D" w:rsidP="00D975E2">
      <w:pPr>
        <w:spacing w:after="0"/>
        <w:textAlignment w:val="baseline"/>
        <w:rPr>
          <w:rFonts w:ascii="Stone Sans II ITC Com Lt" w:eastAsia="Times New Roman" w:hAnsi="Stone Sans II ITC Com Lt" w:cs="Arial"/>
          <w:sz w:val="20"/>
          <w:szCs w:val="24"/>
          <w:lang w:eastAsia="de-DE"/>
        </w:rPr>
      </w:pPr>
    </w:p>
    <w:p w14:paraId="57751123" w14:textId="77777777" w:rsidR="00836FFD" w:rsidRDefault="00836FFD">
      <w:pPr>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br w:type="page"/>
      </w:r>
    </w:p>
    <w:p w14:paraId="3CA9880F" w14:textId="00EE77C2" w:rsidR="002B468D" w:rsidRDefault="002B468D"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lastRenderedPageBreak/>
        <w:t>Bildmaterial:</w:t>
      </w:r>
    </w:p>
    <w:p w14:paraId="7D8CFBE1" w14:textId="0A7FE608" w:rsidR="002B468D" w:rsidRDefault="002B468D" w:rsidP="00D975E2">
      <w:pPr>
        <w:spacing w:after="0"/>
        <w:textAlignment w:val="baseline"/>
        <w:rPr>
          <w:rFonts w:ascii="Stone Sans II ITC Com Lt" w:eastAsia="Times New Roman" w:hAnsi="Stone Sans II ITC Com Lt" w:cs="Arial"/>
          <w:sz w:val="20"/>
          <w:szCs w:val="24"/>
          <w:lang w:eastAsia="de-DE"/>
        </w:rPr>
      </w:pPr>
    </w:p>
    <w:p w14:paraId="67A87102" w14:textId="6C112D62" w:rsidR="003C039C" w:rsidRDefault="00F5761F" w:rsidP="00D975E2">
      <w:pPr>
        <w:spacing w:after="0"/>
        <w:textAlignment w:val="baseline"/>
        <w:rPr>
          <w:rFonts w:ascii="Stone Sans II ITC Com Lt" w:eastAsia="Times New Roman" w:hAnsi="Stone Sans II ITC Com Lt" w:cs="Arial"/>
          <w:sz w:val="20"/>
          <w:szCs w:val="24"/>
          <w:lang w:eastAsia="de-DE"/>
        </w:rPr>
      </w:pPr>
      <w:r w:rsidRPr="00F5761F">
        <w:rPr>
          <w:rFonts w:ascii="Stone Sans II ITC Com Lt" w:eastAsia="Times New Roman" w:hAnsi="Stone Sans II ITC Com Lt" w:cs="Arial"/>
          <w:noProof/>
          <w:sz w:val="20"/>
          <w:szCs w:val="24"/>
          <w:lang w:eastAsia="de-DE"/>
        </w:rPr>
        <w:drawing>
          <wp:inline distT="0" distB="0" distL="0" distR="0" wp14:anchorId="6A070967" wp14:editId="523CF05E">
            <wp:extent cx="4003040" cy="1820788"/>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6040" cy="1831249"/>
                    </a:xfrm>
                    <a:prstGeom prst="rect">
                      <a:avLst/>
                    </a:prstGeom>
                  </pic:spPr>
                </pic:pic>
              </a:graphicData>
            </a:graphic>
          </wp:inline>
        </w:drawing>
      </w:r>
    </w:p>
    <w:p w14:paraId="0654DCDB" w14:textId="62791FA4" w:rsidR="003C039C" w:rsidRDefault="009D05C1" w:rsidP="00D975E2">
      <w:pPr>
        <w:spacing w:after="0"/>
        <w:textAlignment w:val="baseline"/>
        <w:rPr>
          <w:rFonts w:ascii="Stone Sans II ITC Com Lt" w:eastAsia="Times New Roman" w:hAnsi="Stone Sans II ITC Com Lt" w:cs="Arial"/>
          <w:sz w:val="20"/>
          <w:szCs w:val="24"/>
          <w:lang w:eastAsia="de-DE"/>
        </w:rPr>
      </w:pPr>
      <w:r w:rsidRPr="009D05C1">
        <w:rPr>
          <w:rFonts w:ascii="Stone Sans II ITC Com Lt" w:eastAsia="Times New Roman" w:hAnsi="Stone Sans II ITC Com Lt" w:cs="Arial"/>
          <w:sz w:val="20"/>
          <w:szCs w:val="24"/>
          <w:lang w:eastAsia="de-DE"/>
        </w:rPr>
        <w:t>ACO DRAIN® Multiline NX aus NEXITE® im Dr</w:t>
      </w:r>
      <w:r>
        <w:rPr>
          <w:rFonts w:ascii="Stone Sans II ITC Com Lt" w:eastAsia="Times New Roman" w:hAnsi="Stone Sans II ITC Com Lt" w:cs="Arial"/>
          <w:sz w:val="20"/>
          <w:szCs w:val="24"/>
          <w:lang w:eastAsia="de-DE"/>
        </w:rPr>
        <w:t xml:space="preserve">eiklang mit der ACO DRAIN® Multiline aus Polymerbeton und der ACO DRAIN® </w:t>
      </w:r>
      <w:proofErr w:type="spellStart"/>
      <w:r>
        <w:rPr>
          <w:rFonts w:ascii="Stone Sans II ITC Com Lt" w:eastAsia="Times New Roman" w:hAnsi="Stone Sans II ITC Com Lt" w:cs="Arial"/>
          <w:sz w:val="20"/>
          <w:szCs w:val="24"/>
          <w:lang w:eastAsia="de-DE"/>
        </w:rPr>
        <w:t>XtraDrain</w:t>
      </w:r>
      <w:proofErr w:type="spellEnd"/>
      <w:r>
        <w:rPr>
          <w:rFonts w:ascii="Stone Sans II ITC Com Lt" w:eastAsia="Times New Roman" w:hAnsi="Stone Sans II ITC Com Lt" w:cs="Arial"/>
          <w:sz w:val="20"/>
          <w:szCs w:val="24"/>
          <w:lang w:eastAsia="de-DE"/>
        </w:rPr>
        <w:t xml:space="preserve"> aus Kunststoff.</w:t>
      </w:r>
    </w:p>
    <w:p w14:paraId="5BBFCB77" w14:textId="67ED7BDB" w:rsidR="007C320D" w:rsidRDefault="007C320D" w:rsidP="00D975E2">
      <w:pPr>
        <w:spacing w:after="0"/>
        <w:textAlignment w:val="baseline"/>
        <w:rPr>
          <w:rFonts w:ascii="Stone Sans II ITC Com Lt" w:eastAsia="Times New Roman" w:hAnsi="Stone Sans II ITC Com Lt" w:cs="Arial"/>
          <w:sz w:val="20"/>
          <w:szCs w:val="24"/>
          <w:lang w:eastAsia="de-DE"/>
        </w:rPr>
      </w:pPr>
    </w:p>
    <w:p w14:paraId="1CB5626B" w14:textId="1B7CC469" w:rsidR="007C320D" w:rsidRDefault="00836E73" w:rsidP="00D975E2">
      <w:pPr>
        <w:spacing w:after="0"/>
        <w:textAlignment w:val="baseline"/>
        <w:rPr>
          <w:rFonts w:ascii="Stone Sans II ITC Com Lt" w:eastAsia="Times New Roman" w:hAnsi="Stone Sans II ITC Com Lt" w:cs="Arial"/>
          <w:sz w:val="20"/>
          <w:szCs w:val="24"/>
          <w:lang w:eastAsia="de-DE"/>
        </w:rPr>
      </w:pPr>
      <w:r w:rsidRPr="00836E73">
        <w:rPr>
          <w:rFonts w:ascii="Stone Sans II ITC Com Lt" w:eastAsia="Times New Roman" w:hAnsi="Stone Sans II ITC Com Lt" w:cs="Arial"/>
          <w:noProof/>
          <w:sz w:val="20"/>
          <w:szCs w:val="24"/>
          <w:lang w:eastAsia="de-DE"/>
        </w:rPr>
        <w:drawing>
          <wp:inline distT="0" distB="0" distL="0" distR="0" wp14:anchorId="3E5FDC17" wp14:editId="774E9C77">
            <wp:extent cx="2302934" cy="1441267"/>
            <wp:effectExtent l="0" t="0" r="2540" b="6985"/>
            <wp:docPr id="3" name="Grafik 3" descr="Ein Bild, da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rojektor enthält.&#10;&#10;Automatisch generierte Beschreibung"/>
                    <pic:cNvPicPr/>
                  </pic:nvPicPr>
                  <pic:blipFill>
                    <a:blip r:embed="rId14"/>
                    <a:stretch>
                      <a:fillRect/>
                    </a:stretch>
                  </pic:blipFill>
                  <pic:spPr>
                    <a:xfrm>
                      <a:off x="0" y="0"/>
                      <a:ext cx="2323580" cy="1454188"/>
                    </a:xfrm>
                    <a:prstGeom prst="rect">
                      <a:avLst/>
                    </a:prstGeom>
                  </pic:spPr>
                </pic:pic>
              </a:graphicData>
            </a:graphic>
          </wp:inline>
        </w:drawing>
      </w:r>
    </w:p>
    <w:p w14:paraId="1C87B887" w14:textId="77777777" w:rsidR="00836E73" w:rsidRPr="009D05C1" w:rsidRDefault="00836E73" w:rsidP="00D975E2">
      <w:pPr>
        <w:spacing w:after="0"/>
        <w:textAlignment w:val="baseline"/>
        <w:rPr>
          <w:rFonts w:ascii="Stone Sans II ITC Com Lt" w:eastAsia="Times New Roman" w:hAnsi="Stone Sans II ITC Com Lt" w:cs="Arial"/>
          <w:sz w:val="20"/>
          <w:szCs w:val="24"/>
          <w:lang w:eastAsia="de-DE"/>
        </w:rPr>
      </w:pPr>
    </w:p>
    <w:p w14:paraId="09B92157" w14:textId="7D70D491" w:rsidR="009D05C1" w:rsidRDefault="00836E73" w:rsidP="00D975E2">
      <w:pPr>
        <w:spacing w:after="0"/>
        <w:textAlignment w:val="baseline"/>
        <w:rPr>
          <w:rFonts w:ascii="Stone Sans II ITC Com Lt" w:eastAsia="Times New Roman" w:hAnsi="Stone Sans II ITC Com Lt" w:cs="Arial"/>
          <w:sz w:val="20"/>
          <w:szCs w:val="24"/>
          <w:lang w:eastAsia="de-DE"/>
        </w:rPr>
      </w:pPr>
      <w:r w:rsidRPr="004A0307">
        <w:rPr>
          <w:rFonts w:ascii="Stone Sans II ITC Com Lt" w:eastAsia="Times New Roman" w:hAnsi="Stone Sans II ITC Com Lt" w:cs="Arial"/>
          <w:sz w:val="20"/>
          <w:szCs w:val="24"/>
          <w:lang w:eastAsia="de-DE"/>
        </w:rPr>
        <w:t xml:space="preserve">Die </w:t>
      </w:r>
      <w:r w:rsidR="004A0307" w:rsidRPr="004A0307">
        <w:rPr>
          <w:rFonts w:ascii="Stone Sans II ITC Com Lt" w:eastAsia="Times New Roman" w:hAnsi="Stone Sans II ITC Com Lt" w:cs="Arial"/>
          <w:sz w:val="20"/>
          <w:szCs w:val="24"/>
          <w:lang w:eastAsia="de-DE"/>
        </w:rPr>
        <w:t>Entwässerungsrinne der neu</w:t>
      </w:r>
      <w:r w:rsidR="004A0307">
        <w:rPr>
          <w:rFonts w:ascii="Stone Sans II ITC Com Lt" w:eastAsia="Times New Roman" w:hAnsi="Stone Sans II ITC Com Lt" w:cs="Arial"/>
          <w:sz w:val="20"/>
          <w:szCs w:val="24"/>
          <w:lang w:eastAsia="de-DE"/>
        </w:rPr>
        <w:t xml:space="preserve">esten Generation: </w:t>
      </w:r>
      <w:r w:rsidRPr="004A0307">
        <w:rPr>
          <w:rFonts w:ascii="Stone Sans II ITC Com Lt" w:eastAsia="Times New Roman" w:hAnsi="Stone Sans II ITC Com Lt" w:cs="Arial"/>
          <w:sz w:val="20"/>
          <w:szCs w:val="24"/>
          <w:lang w:eastAsia="de-DE"/>
        </w:rPr>
        <w:t>ACO DRAIN® Multiline NX aus NEXITE®</w:t>
      </w:r>
      <w:r w:rsidR="004A0307">
        <w:rPr>
          <w:rFonts w:ascii="Stone Sans II ITC Com Lt" w:eastAsia="Times New Roman" w:hAnsi="Stone Sans II ITC Com Lt" w:cs="Arial"/>
          <w:sz w:val="20"/>
          <w:szCs w:val="24"/>
          <w:lang w:eastAsia="de-DE"/>
        </w:rPr>
        <w:t xml:space="preserve"> mit </w:t>
      </w:r>
      <w:r w:rsidR="00B76611">
        <w:rPr>
          <w:rFonts w:ascii="Stone Sans II ITC Com Lt" w:eastAsia="Times New Roman" w:hAnsi="Stone Sans II ITC Com Lt" w:cs="Arial"/>
          <w:sz w:val="20"/>
          <w:szCs w:val="24"/>
          <w:lang w:eastAsia="de-DE"/>
        </w:rPr>
        <w:t>Kantenschutz Stahl verzinkt und Längsprofilrost</w:t>
      </w:r>
    </w:p>
    <w:p w14:paraId="6C97CC23" w14:textId="0AD5C689" w:rsidR="00B76611" w:rsidRDefault="00B76611" w:rsidP="00D975E2">
      <w:pPr>
        <w:spacing w:after="0"/>
        <w:textAlignment w:val="baseline"/>
        <w:rPr>
          <w:rFonts w:ascii="Stone Sans II ITC Com Lt" w:eastAsia="Times New Roman" w:hAnsi="Stone Sans II ITC Com Lt" w:cs="Arial"/>
          <w:sz w:val="20"/>
          <w:szCs w:val="24"/>
          <w:lang w:eastAsia="de-DE"/>
        </w:rPr>
      </w:pPr>
    </w:p>
    <w:p w14:paraId="462E2114" w14:textId="7B1867FD" w:rsidR="00D6489A" w:rsidRDefault="005B3988" w:rsidP="00D975E2">
      <w:pPr>
        <w:spacing w:after="0"/>
        <w:textAlignment w:val="baseline"/>
        <w:rPr>
          <w:noProof/>
        </w:rPr>
      </w:pPr>
      <w:r w:rsidRPr="00B610D7">
        <w:rPr>
          <w:rFonts w:ascii="Stone Sans II ITC Com Lt" w:eastAsia="Times New Roman" w:hAnsi="Stone Sans II ITC Com Lt" w:cs="Arial"/>
          <w:noProof/>
          <w:sz w:val="20"/>
          <w:szCs w:val="24"/>
          <w:lang w:eastAsia="de-DE"/>
        </w:rPr>
        <w:drawing>
          <wp:inline distT="0" distB="0" distL="0" distR="0" wp14:anchorId="4994A12A" wp14:editId="63B15DAC">
            <wp:extent cx="1348545" cy="1374987"/>
            <wp:effectExtent l="0" t="0" r="4445" b="0"/>
            <wp:docPr id="10" name="Grafik 10" descr="Ein Bild, da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Computer enthält.&#10;&#10;Automatisch generierte Beschreibung"/>
                    <pic:cNvPicPr/>
                  </pic:nvPicPr>
                  <pic:blipFill>
                    <a:blip r:embed="rId15"/>
                    <a:stretch>
                      <a:fillRect/>
                    </a:stretch>
                  </pic:blipFill>
                  <pic:spPr>
                    <a:xfrm>
                      <a:off x="0" y="0"/>
                      <a:ext cx="1366096" cy="1392882"/>
                    </a:xfrm>
                    <a:prstGeom prst="rect">
                      <a:avLst/>
                    </a:prstGeom>
                  </pic:spPr>
                </pic:pic>
              </a:graphicData>
            </a:graphic>
          </wp:inline>
        </w:drawing>
      </w:r>
      <w:r>
        <w:rPr>
          <w:rFonts w:ascii="Stone Sans II ITC Com Lt" w:eastAsia="Times New Roman" w:hAnsi="Stone Sans II ITC Com Lt" w:cs="Arial"/>
          <w:sz w:val="20"/>
          <w:szCs w:val="24"/>
          <w:lang w:eastAsia="de-DE"/>
        </w:rPr>
        <w:t xml:space="preserve"> </w:t>
      </w:r>
      <w:r w:rsidR="00B610D7" w:rsidRPr="00B610D7">
        <w:rPr>
          <w:noProof/>
        </w:rPr>
        <w:t xml:space="preserve">  </w:t>
      </w:r>
      <w:r w:rsidR="00B610D7" w:rsidRPr="00B610D7">
        <w:rPr>
          <w:noProof/>
        </w:rPr>
        <w:drawing>
          <wp:inline distT="0" distB="0" distL="0" distR="0" wp14:anchorId="19B68FB6" wp14:editId="5E651C3A">
            <wp:extent cx="1315589" cy="1368214"/>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038" cy="1386361"/>
                    </a:xfrm>
                    <a:prstGeom prst="rect">
                      <a:avLst/>
                    </a:prstGeom>
                  </pic:spPr>
                </pic:pic>
              </a:graphicData>
            </a:graphic>
          </wp:inline>
        </w:drawing>
      </w:r>
      <w:r w:rsidR="00535780">
        <w:rPr>
          <w:noProof/>
        </w:rPr>
        <w:t xml:space="preserve"> </w:t>
      </w:r>
      <w:r w:rsidR="00535780" w:rsidRPr="00D6489A">
        <w:rPr>
          <w:rFonts w:ascii="Stone Sans II ITC Com Lt" w:eastAsia="Times New Roman" w:hAnsi="Stone Sans II ITC Com Lt" w:cs="Arial"/>
          <w:noProof/>
          <w:sz w:val="20"/>
          <w:szCs w:val="24"/>
          <w:lang w:eastAsia="de-DE"/>
        </w:rPr>
        <w:drawing>
          <wp:inline distT="0" distB="0" distL="0" distR="0" wp14:anchorId="725A3E8E" wp14:editId="28995109">
            <wp:extent cx="1067869" cy="1374987"/>
            <wp:effectExtent l="0" t="0" r="0" b="0"/>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pic:nvPicPr>
                  <pic:blipFill>
                    <a:blip r:embed="rId17"/>
                    <a:stretch>
                      <a:fillRect/>
                    </a:stretch>
                  </pic:blipFill>
                  <pic:spPr>
                    <a:xfrm>
                      <a:off x="0" y="0"/>
                      <a:ext cx="1088010" cy="1400921"/>
                    </a:xfrm>
                    <a:prstGeom prst="rect">
                      <a:avLst/>
                    </a:prstGeom>
                  </pic:spPr>
                </pic:pic>
              </a:graphicData>
            </a:graphic>
          </wp:inline>
        </w:drawing>
      </w:r>
    </w:p>
    <w:p w14:paraId="37C2CF8F" w14:textId="7DCB9B03" w:rsidR="001E6F10" w:rsidRDefault="001E6F10" w:rsidP="00D975E2">
      <w:pPr>
        <w:spacing w:after="0"/>
        <w:textAlignment w:val="baseline"/>
        <w:rPr>
          <w:noProof/>
        </w:rPr>
      </w:pPr>
    </w:p>
    <w:p w14:paraId="0706B99B" w14:textId="372BBAAD" w:rsidR="001E6F10" w:rsidRPr="004A0307" w:rsidRDefault="001E6F10" w:rsidP="00D975E2">
      <w:pPr>
        <w:spacing w:after="0"/>
        <w:textAlignment w:val="baseline"/>
        <w:rPr>
          <w:rFonts w:ascii="Stone Sans II ITC Com Lt" w:eastAsia="Times New Roman" w:hAnsi="Stone Sans II ITC Com Lt" w:cs="Arial"/>
          <w:sz w:val="20"/>
          <w:szCs w:val="24"/>
          <w:lang w:eastAsia="de-DE"/>
        </w:rPr>
      </w:pPr>
      <w:r w:rsidRPr="00535780">
        <w:rPr>
          <w:rFonts w:ascii="Stone Sans II ITC Com Lt" w:eastAsia="Times New Roman" w:hAnsi="Stone Sans II ITC Com Lt" w:cs="Arial"/>
          <w:sz w:val="20"/>
          <w:szCs w:val="24"/>
          <w:lang w:eastAsia="de-DE"/>
        </w:rPr>
        <w:t xml:space="preserve">Materialgleichheit bei Kantenschutz und Rosten aus Stahl verzinkt, </w:t>
      </w:r>
      <w:r w:rsidR="00535780" w:rsidRPr="00535780">
        <w:rPr>
          <w:rFonts w:ascii="Stone Sans II ITC Com Lt" w:eastAsia="Times New Roman" w:hAnsi="Stone Sans II ITC Com Lt" w:cs="Arial"/>
          <w:sz w:val="20"/>
          <w:szCs w:val="24"/>
          <w:lang w:eastAsia="de-DE"/>
        </w:rPr>
        <w:t>Gusseisen und neu aus Kunststoff</w:t>
      </w:r>
    </w:p>
    <w:p w14:paraId="495490B0" w14:textId="1BB5BBF6" w:rsidR="002B468D" w:rsidRDefault="002B468D" w:rsidP="00D975E2">
      <w:pPr>
        <w:spacing w:after="0"/>
        <w:textAlignment w:val="baseline"/>
        <w:rPr>
          <w:rFonts w:ascii="Stone Sans II ITC Com Lt" w:eastAsia="Times New Roman" w:hAnsi="Stone Sans II ITC Com Lt" w:cs="Arial"/>
          <w:sz w:val="20"/>
          <w:szCs w:val="24"/>
          <w:lang w:eastAsia="de-DE"/>
        </w:rPr>
      </w:pPr>
    </w:p>
    <w:p w14:paraId="25F890DB" w14:textId="77777777" w:rsidR="00850A3E" w:rsidRPr="004A0307" w:rsidRDefault="00850A3E" w:rsidP="00D975E2">
      <w:pPr>
        <w:spacing w:after="0"/>
        <w:textAlignment w:val="baseline"/>
        <w:rPr>
          <w:rFonts w:ascii="Stone Sans II ITC Com Lt" w:eastAsia="Times New Roman" w:hAnsi="Stone Sans II ITC Com Lt" w:cs="Arial"/>
          <w:sz w:val="20"/>
          <w:szCs w:val="24"/>
          <w:lang w:eastAsia="de-DE"/>
        </w:rPr>
      </w:pPr>
    </w:p>
    <w:p w14:paraId="675330E7" w14:textId="32357EF7"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10082AF4"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1F266D36" w14:textId="6BF7DB73" w:rsidR="00542585" w:rsidRPr="006E02FD" w:rsidRDefault="000B433D" w:rsidP="00DE73D8">
      <w:pPr>
        <w:rPr>
          <w:rStyle w:val="Hyperlink"/>
          <w:rFonts w:ascii="Arial" w:hAnsi="Arial" w:cs="Arial"/>
          <w:color w:val="000000" w:themeColor="text1"/>
          <w:sz w:val="20"/>
          <w:u w:val="none"/>
          <w:shd w:val="clear" w:color="auto" w:fill="FFFFFF"/>
          <w:lang w:val="en-US"/>
        </w:rPr>
      </w:pPr>
      <w:r w:rsidRPr="00C00711">
        <w:rPr>
          <w:rFonts w:ascii="Stone Sans II ITC Com Lt" w:hAnsi="Stone Sans II ITC Com Lt" w:cs="Arial"/>
          <w:color w:val="000000" w:themeColor="text1"/>
          <w:sz w:val="20"/>
          <w:lang w:val="en-US"/>
        </w:rPr>
        <w:t xml:space="preserve">Tanja Holst </w:t>
      </w:r>
      <w:r w:rsidR="00CB1D67">
        <w:rPr>
          <w:rFonts w:ascii="Stone Sans II ITC Com Lt" w:hAnsi="Stone Sans II ITC Com Lt" w:cs="Arial"/>
          <w:color w:val="000000" w:themeColor="text1"/>
          <w:sz w:val="20"/>
          <w:lang w:val="en-US"/>
        </w:rPr>
        <w:br/>
        <w:t xml:space="preserve">Public Relations - </w:t>
      </w:r>
      <w:proofErr w:type="spellStart"/>
      <w:r w:rsidR="00CB1D67">
        <w:rPr>
          <w:rFonts w:ascii="Stone Sans II ITC Com Lt" w:hAnsi="Stone Sans II ITC Com Lt" w:cs="Arial"/>
          <w:color w:val="000000" w:themeColor="text1"/>
          <w:sz w:val="20"/>
          <w:lang w:val="en-US"/>
        </w:rPr>
        <w:t>Fachpresse</w:t>
      </w:r>
      <w:proofErr w:type="spellEnd"/>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8"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9" w:history="1">
        <w:r w:rsidR="00462739" w:rsidRPr="006E02FD">
          <w:rPr>
            <w:rStyle w:val="Hyperlink"/>
            <w:rFonts w:ascii="Stone Sans II ITC Com Lt" w:hAnsi="Stone Sans II ITC Com Lt" w:cs="Arial"/>
            <w:sz w:val="20"/>
            <w:shd w:val="clear" w:color="auto" w:fill="FFFFFF"/>
            <w:lang w:val="en-US"/>
          </w:rPr>
          <w:t>tanja.holst@aco.com</w:t>
        </w:r>
      </w:hyperlink>
    </w:p>
    <w:sectPr w:rsidR="00542585" w:rsidRPr="006E02FD" w:rsidSect="00F546F0">
      <w:footerReference w:type="default" r:id="rId20"/>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6C00" w14:textId="77777777" w:rsidR="0080778D" w:rsidRDefault="0080778D" w:rsidP="00044844">
      <w:pPr>
        <w:spacing w:after="0" w:line="240" w:lineRule="auto"/>
      </w:pPr>
      <w:r>
        <w:separator/>
      </w:r>
    </w:p>
  </w:endnote>
  <w:endnote w:type="continuationSeparator" w:id="0">
    <w:p w14:paraId="039AFCA1" w14:textId="77777777" w:rsidR="0080778D" w:rsidRDefault="0080778D"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0589399D">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agram_r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651067B9">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1EB3DF5A">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6C6B1" w14:textId="77777777" w:rsidR="0080778D" w:rsidRDefault="0080778D" w:rsidP="00044844">
      <w:pPr>
        <w:spacing w:after="0" w:line="240" w:lineRule="auto"/>
      </w:pPr>
      <w:r>
        <w:separator/>
      </w:r>
    </w:p>
  </w:footnote>
  <w:footnote w:type="continuationSeparator" w:id="0">
    <w:p w14:paraId="0D035AFB" w14:textId="77777777" w:rsidR="0080778D" w:rsidRDefault="0080778D"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241E9"/>
    <w:rsid w:val="0003347E"/>
    <w:rsid w:val="00034D8F"/>
    <w:rsid w:val="0003777C"/>
    <w:rsid w:val="0004480A"/>
    <w:rsid w:val="00044844"/>
    <w:rsid w:val="0006391B"/>
    <w:rsid w:val="00066AD4"/>
    <w:rsid w:val="00067C2E"/>
    <w:rsid w:val="000A45DF"/>
    <w:rsid w:val="000B31AA"/>
    <w:rsid w:val="000B433D"/>
    <w:rsid w:val="000F78C7"/>
    <w:rsid w:val="001024AB"/>
    <w:rsid w:val="00105B60"/>
    <w:rsid w:val="001216DA"/>
    <w:rsid w:val="0013362A"/>
    <w:rsid w:val="0013479F"/>
    <w:rsid w:val="00182CEE"/>
    <w:rsid w:val="001902FC"/>
    <w:rsid w:val="001A4B88"/>
    <w:rsid w:val="001A7868"/>
    <w:rsid w:val="001B22EF"/>
    <w:rsid w:val="001B57F6"/>
    <w:rsid w:val="001D34AF"/>
    <w:rsid w:val="001D5E70"/>
    <w:rsid w:val="001E6F10"/>
    <w:rsid w:val="00204BF2"/>
    <w:rsid w:val="002235AE"/>
    <w:rsid w:val="00226B61"/>
    <w:rsid w:val="00227BDF"/>
    <w:rsid w:val="002363FF"/>
    <w:rsid w:val="00245EDA"/>
    <w:rsid w:val="002503CD"/>
    <w:rsid w:val="00252708"/>
    <w:rsid w:val="00252EC7"/>
    <w:rsid w:val="00265A18"/>
    <w:rsid w:val="00270A69"/>
    <w:rsid w:val="00274321"/>
    <w:rsid w:val="00284790"/>
    <w:rsid w:val="002B468D"/>
    <w:rsid w:val="002D4FDB"/>
    <w:rsid w:val="002D67A7"/>
    <w:rsid w:val="002D77CC"/>
    <w:rsid w:val="003058CA"/>
    <w:rsid w:val="00311284"/>
    <w:rsid w:val="0031267A"/>
    <w:rsid w:val="00346221"/>
    <w:rsid w:val="00350908"/>
    <w:rsid w:val="003567B5"/>
    <w:rsid w:val="0036366E"/>
    <w:rsid w:val="00376682"/>
    <w:rsid w:val="003931C9"/>
    <w:rsid w:val="003A0B9E"/>
    <w:rsid w:val="003B38E3"/>
    <w:rsid w:val="003B4CE2"/>
    <w:rsid w:val="003C039C"/>
    <w:rsid w:val="003C3DA2"/>
    <w:rsid w:val="003E00A4"/>
    <w:rsid w:val="003E6B8C"/>
    <w:rsid w:val="003E71A3"/>
    <w:rsid w:val="003F31E9"/>
    <w:rsid w:val="004005BD"/>
    <w:rsid w:val="00406A3C"/>
    <w:rsid w:val="00416C87"/>
    <w:rsid w:val="00422EC6"/>
    <w:rsid w:val="004445DB"/>
    <w:rsid w:val="00444CA0"/>
    <w:rsid w:val="00447457"/>
    <w:rsid w:val="00462739"/>
    <w:rsid w:val="0047148D"/>
    <w:rsid w:val="004A0307"/>
    <w:rsid w:val="004C6176"/>
    <w:rsid w:val="004D7038"/>
    <w:rsid w:val="004E7EF0"/>
    <w:rsid w:val="0050698B"/>
    <w:rsid w:val="0053352C"/>
    <w:rsid w:val="00535780"/>
    <w:rsid w:val="00542585"/>
    <w:rsid w:val="00565445"/>
    <w:rsid w:val="00570E74"/>
    <w:rsid w:val="00576DF6"/>
    <w:rsid w:val="00582064"/>
    <w:rsid w:val="005A40D0"/>
    <w:rsid w:val="005B08C3"/>
    <w:rsid w:val="005B3988"/>
    <w:rsid w:val="005C18B7"/>
    <w:rsid w:val="00611C56"/>
    <w:rsid w:val="00612C08"/>
    <w:rsid w:val="00634424"/>
    <w:rsid w:val="00634F90"/>
    <w:rsid w:val="00642242"/>
    <w:rsid w:val="00646509"/>
    <w:rsid w:val="00651EE9"/>
    <w:rsid w:val="00652B4C"/>
    <w:rsid w:val="0066400A"/>
    <w:rsid w:val="0067033C"/>
    <w:rsid w:val="00675121"/>
    <w:rsid w:val="006778AF"/>
    <w:rsid w:val="006971EE"/>
    <w:rsid w:val="006A0C3C"/>
    <w:rsid w:val="006C398F"/>
    <w:rsid w:val="006D1C40"/>
    <w:rsid w:val="006D5DC3"/>
    <w:rsid w:val="006E0031"/>
    <w:rsid w:val="006E02FD"/>
    <w:rsid w:val="00704140"/>
    <w:rsid w:val="00716728"/>
    <w:rsid w:val="0071733B"/>
    <w:rsid w:val="007179E6"/>
    <w:rsid w:val="0072074B"/>
    <w:rsid w:val="0073368F"/>
    <w:rsid w:val="0074008A"/>
    <w:rsid w:val="0075575F"/>
    <w:rsid w:val="00762FA7"/>
    <w:rsid w:val="00775017"/>
    <w:rsid w:val="00790667"/>
    <w:rsid w:val="00794EB3"/>
    <w:rsid w:val="007A1EAA"/>
    <w:rsid w:val="007A492F"/>
    <w:rsid w:val="007A55F6"/>
    <w:rsid w:val="007A5CBC"/>
    <w:rsid w:val="007C320D"/>
    <w:rsid w:val="007D588F"/>
    <w:rsid w:val="007D79B0"/>
    <w:rsid w:val="007E45DA"/>
    <w:rsid w:val="007F15DC"/>
    <w:rsid w:val="0080778D"/>
    <w:rsid w:val="00817C8D"/>
    <w:rsid w:val="00826048"/>
    <w:rsid w:val="00836E73"/>
    <w:rsid w:val="00836FFD"/>
    <w:rsid w:val="00842DC3"/>
    <w:rsid w:val="00850A3E"/>
    <w:rsid w:val="00864546"/>
    <w:rsid w:val="008B186B"/>
    <w:rsid w:val="008C7D53"/>
    <w:rsid w:val="008D01B3"/>
    <w:rsid w:val="008D698C"/>
    <w:rsid w:val="008E6D30"/>
    <w:rsid w:val="008F2732"/>
    <w:rsid w:val="00920654"/>
    <w:rsid w:val="00920AAE"/>
    <w:rsid w:val="009503EA"/>
    <w:rsid w:val="00951E26"/>
    <w:rsid w:val="009645F1"/>
    <w:rsid w:val="00980D8B"/>
    <w:rsid w:val="00995C8F"/>
    <w:rsid w:val="009A4B51"/>
    <w:rsid w:val="009B0345"/>
    <w:rsid w:val="009C0B31"/>
    <w:rsid w:val="009C5B44"/>
    <w:rsid w:val="009D05C1"/>
    <w:rsid w:val="009E094C"/>
    <w:rsid w:val="009E123B"/>
    <w:rsid w:val="009F7729"/>
    <w:rsid w:val="00A30148"/>
    <w:rsid w:val="00A3561E"/>
    <w:rsid w:val="00A4013C"/>
    <w:rsid w:val="00A42521"/>
    <w:rsid w:val="00A5469C"/>
    <w:rsid w:val="00A76CCE"/>
    <w:rsid w:val="00A84D08"/>
    <w:rsid w:val="00A9688F"/>
    <w:rsid w:val="00AA378D"/>
    <w:rsid w:val="00AD5F9C"/>
    <w:rsid w:val="00B05F4C"/>
    <w:rsid w:val="00B14C0F"/>
    <w:rsid w:val="00B16619"/>
    <w:rsid w:val="00B16ED4"/>
    <w:rsid w:val="00B25925"/>
    <w:rsid w:val="00B40415"/>
    <w:rsid w:val="00B4327B"/>
    <w:rsid w:val="00B44E7E"/>
    <w:rsid w:val="00B46ECD"/>
    <w:rsid w:val="00B610D7"/>
    <w:rsid w:val="00B728A3"/>
    <w:rsid w:val="00B74E51"/>
    <w:rsid w:val="00B76611"/>
    <w:rsid w:val="00B85748"/>
    <w:rsid w:val="00B9116A"/>
    <w:rsid w:val="00B95F54"/>
    <w:rsid w:val="00BC2F52"/>
    <w:rsid w:val="00BC6514"/>
    <w:rsid w:val="00BD0911"/>
    <w:rsid w:val="00BE0C1A"/>
    <w:rsid w:val="00C00711"/>
    <w:rsid w:val="00C03AA0"/>
    <w:rsid w:val="00C050A2"/>
    <w:rsid w:val="00C05110"/>
    <w:rsid w:val="00C274FC"/>
    <w:rsid w:val="00C42ED0"/>
    <w:rsid w:val="00C46B55"/>
    <w:rsid w:val="00C475C3"/>
    <w:rsid w:val="00C5681D"/>
    <w:rsid w:val="00C578FB"/>
    <w:rsid w:val="00C63C4E"/>
    <w:rsid w:val="00C64668"/>
    <w:rsid w:val="00C875AF"/>
    <w:rsid w:val="00C93C2C"/>
    <w:rsid w:val="00C961BA"/>
    <w:rsid w:val="00C96F7C"/>
    <w:rsid w:val="00C97733"/>
    <w:rsid w:val="00CA2083"/>
    <w:rsid w:val="00CB1D67"/>
    <w:rsid w:val="00CB4EB3"/>
    <w:rsid w:val="00CB5832"/>
    <w:rsid w:val="00CB6EC1"/>
    <w:rsid w:val="00D01A8A"/>
    <w:rsid w:val="00D01A91"/>
    <w:rsid w:val="00D121B9"/>
    <w:rsid w:val="00D124E8"/>
    <w:rsid w:val="00D13E71"/>
    <w:rsid w:val="00D31A39"/>
    <w:rsid w:val="00D34C02"/>
    <w:rsid w:val="00D369FF"/>
    <w:rsid w:val="00D44918"/>
    <w:rsid w:val="00D57851"/>
    <w:rsid w:val="00D6489A"/>
    <w:rsid w:val="00D869B8"/>
    <w:rsid w:val="00D92401"/>
    <w:rsid w:val="00D975E2"/>
    <w:rsid w:val="00DB60A8"/>
    <w:rsid w:val="00DC4EF5"/>
    <w:rsid w:val="00DD17B3"/>
    <w:rsid w:val="00DD6AA3"/>
    <w:rsid w:val="00DE73D8"/>
    <w:rsid w:val="00DF40BA"/>
    <w:rsid w:val="00E0433B"/>
    <w:rsid w:val="00E13373"/>
    <w:rsid w:val="00E3788D"/>
    <w:rsid w:val="00E41F1B"/>
    <w:rsid w:val="00E43F83"/>
    <w:rsid w:val="00E461FF"/>
    <w:rsid w:val="00E53EA6"/>
    <w:rsid w:val="00E53ED5"/>
    <w:rsid w:val="00E61E50"/>
    <w:rsid w:val="00E764D5"/>
    <w:rsid w:val="00E87FB1"/>
    <w:rsid w:val="00EB6750"/>
    <w:rsid w:val="00EC2B96"/>
    <w:rsid w:val="00EC7A45"/>
    <w:rsid w:val="00EC7A7C"/>
    <w:rsid w:val="00ED6ED3"/>
    <w:rsid w:val="00EE4218"/>
    <w:rsid w:val="00EE5502"/>
    <w:rsid w:val="00F02503"/>
    <w:rsid w:val="00F05BFD"/>
    <w:rsid w:val="00F1072F"/>
    <w:rsid w:val="00F13F80"/>
    <w:rsid w:val="00F2386F"/>
    <w:rsid w:val="00F546F0"/>
    <w:rsid w:val="00F5761F"/>
    <w:rsid w:val="00F83C2D"/>
    <w:rsid w:val="00F840C7"/>
    <w:rsid w:val="00F84967"/>
    <w:rsid w:val="00FA179B"/>
    <w:rsid w:val="00FB55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tel:+49433135417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co.de/nexite"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tanja.holst@ac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s://www.instagram.com/aco_group/" TargetMode="External"/><Relationship Id="rId7" Type="http://schemas.openxmlformats.org/officeDocument/2006/relationships/hyperlink" Target="https://www.linkedin.com/company/9254055/" TargetMode="External"/><Relationship Id="rId2" Type="http://schemas.openxmlformats.org/officeDocument/2006/relationships/image" Target="media/image7.jpeg"/><Relationship Id="rId1" Type="http://schemas.openxmlformats.org/officeDocument/2006/relationships/hyperlink" Target="https://www.pinterest.de/aco_group/" TargetMode="External"/><Relationship Id="rId6" Type="http://schemas.openxmlformats.org/officeDocument/2006/relationships/image" Target="media/image9.jpeg"/><Relationship Id="rId5" Type="http://schemas.openxmlformats.org/officeDocument/2006/relationships/hyperlink" Target="https://www.youtube.com/user/ACO" TargetMode="External"/><Relationship Id="rId10" Type="http://schemas.openxmlformats.org/officeDocument/2006/relationships/image" Target="media/image11.jpeg"/><Relationship Id="rId4" Type="http://schemas.openxmlformats.org/officeDocument/2006/relationships/image" Target="media/image8.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F242B5-E1AD-4C56-BDCD-07040D189CD1}">
  <ds:schemaRefs>
    <ds:schemaRef ds:uri="http://schemas.microsoft.com/sharepoint/v3/contenttype/forms"/>
  </ds:schemaRefs>
</ds:datastoreItem>
</file>

<file path=customXml/itemProps3.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3866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13</cp:revision>
  <cp:lastPrinted>2022-06-17T08:55:00Z</cp:lastPrinted>
  <dcterms:created xsi:type="dcterms:W3CDTF">2023-05-01T09:20:00Z</dcterms:created>
  <dcterms:modified xsi:type="dcterms:W3CDTF">2024-05-10T14:34:00Z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